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B285A"/>
          <w:sz w:val="36"/>
        </w:rPr>
        <w:t>SOVEREIGN INDUSTRIAL WORKBENCH DELIVERABLE</w:t>
      </w:r>
    </w:p>
    <w:p>
      <w:r>
        <w:rPr>
          <w:rFonts w:ascii="Arial" w:hAnsi="Arial"/>
          <w:i/>
          <w:color w:val="646464"/>
          <w:sz w:val="22"/>
        </w:rPr>
        <w:t>Air-Gapped Confidential Operations Report</w:t>
      </w:r>
    </w:p>
    <w:p>
      <w:r>
        <w:t>------------------------------------------------------------</w:t>
      </w:r>
    </w:p>
    <w:p>
      <w:pPr>
        <w:pStyle w:val="Heading1"/>
      </w:pPr>
      <w:r>
        <w:rPr>
          <w:color w:val="0B285A"/>
        </w:rPr>
        <w:t>INSPECTION APPROVAL NOTE MASTER</w:t>
      </w:r>
    </w:p>
    <w:p>
      <w:pPr>
        <w:pStyle w:val="Heading2"/>
      </w:pPr>
      <w:r>
        <w:rPr>
          <w:color w:val="1E5096"/>
        </w:rPr>
        <w:t>Executive Summary &amp; Inspection Findings</w:t>
      </w:r>
    </w:p>
    <w:p>
      <w:r>
        <w:t>All turbine bearings nominal. No leakage.</w:t>
      </w:r>
    </w:p>
    <w:p>
      <w:pPr>
        <w:pStyle w:val="Heading2"/>
      </w:pPr>
      <w:r>
        <w:rPr>
          <w:color w:val="1E5096"/>
        </w:rPr>
        <w:t>Air-Gapped Confidentiality Compliance</w:t>
      </w:r>
    </w:p>
    <w:p>
      <w:r>
        <w:t>This deliverable document was automatically synthesized on an air-gapped confidential industrial workbench node. All findings verified locally.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