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402D5">
      <w:pPr>
        <w:spacing w:after="40"/>
        <w:jc w:val="center"/>
      </w:pPr>
      <w:r>
        <w:rPr>
          <w:b/>
          <w:bCs/>
          <w:color w:val="1F3864"/>
          <w:sz w:val="52"/>
          <w:szCs w:val="52"/>
        </w:rPr>
        <w:t>COFRAUD</w:t>
      </w:r>
    </w:p>
    <w:p w14:paraId="6BFD2FE5">
      <w:pPr>
        <w:spacing w:after="40"/>
        <w:jc w:val="center"/>
      </w:pPr>
      <w:r>
        <w:rPr>
          <w:i/>
          <w:iCs/>
          <w:color w:val="2E5C99"/>
          <w:sz w:val="28"/>
          <w:szCs w:val="28"/>
        </w:rPr>
        <w:t>Abuse-Ring Sentinel — A Defense-Only Fraud Ring Detector</w:t>
      </w:r>
    </w:p>
    <w:p w14:paraId="792D4320">
      <w:pPr>
        <w:spacing w:after="240"/>
        <w:jc w:val="center"/>
      </w:pPr>
      <w:r>
        <w:rPr>
          <w:color w:val="666666"/>
          <w:sz w:val="20"/>
          <w:szCs w:val="20"/>
        </w:rPr>
        <w:t>Razorpay AI Builder Buildathon 2026  •  Track 02: AI Risk Manager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10C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5C99" w:sz="6" w:space="0"/>
              <w:left w:val="single" w:color="2E5C99" w:sz="6" w:space="0"/>
              <w:bottom w:val="single" w:color="2E5C99" w:sz="6" w:space="0"/>
              <w:right w:val="single" w:color="2E5C99" w:sz="6" w:space="0"/>
            </w:tcBorders>
            <w:shd w:val="clear" w:color="auto" w:fill="EAF1FB"/>
            <w:tcMar>
              <w:top w:w="160" w:type="dxa"/>
              <w:left w:w="200" w:type="dxa"/>
              <w:bottom w:w="160" w:type="dxa"/>
              <w:right w:w="200" w:type="dxa"/>
            </w:tcMar>
          </w:tcPr>
          <w:p w14:paraId="5983D758">
            <w:pPr>
              <w:jc w:val="center"/>
            </w:pPr>
            <w:r>
              <w:rPr>
                <w:i/>
                <w:iCs/>
                <w:color w:val="1F3864"/>
                <w:sz w:val="22"/>
                <w:szCs w:val="22"/>
              </w:rPr>
              <w:t>One-line pitch: Most fraud isn't one bad transaction — it's a ring of accounts hiding behind shared devices and IPs. CoFraud finds the ring, explains why it's flagged, and hands it to a human — it never blocks anyone on its own.</w:t>
            </w:r>
          </w:p>
        </w:tc>
      </w:tr>
    </w:tbl>
    <w:p w14:paraId="3B49196D">
      <w:pPr>
        <w:spacing w:after="280"/>
      </w:pPr>
    </w:p>
    <w:p w14:paraId="4267711A">
      <w:pPr>
        <w:pStyle w:val="2"/>
        <w:spacing w:before="320" w:after="160"/>
      </w:pPr>
      <w:r>
        <w:rPr>
          <w:b/>
          <w:bCs/>
          <w:color w:val="1F3864"/>
        </w:rPr>
        <w:t>Team &amp; Submission Details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41D11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29A268F5">
            <w:r>
              <w:rPr>
                <w:b/>
                <w:bCs/>
                <w:color w:val="FFFFFF"/>
                <w:sz w:val="20"/>
                <w:szCs w:val="20"/>
              </w:rPr>
              <w:t>Field</w:t>
            </w:r>
          </w:p>
        </w:tc>
        <w:tc>
          <w:tcPr>
            <w:tcW w:w="6426"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23219BB9">
            <w:r>
              <w:rPr>
                <w:b/>
                <w:bCs/>
                <w:color w:val="FFFFFF"/>
                <w:sz w:val="20"/>
                <w:szCs w:val="20"/>
              </w:rPr>
              <w:t>Details</w:t>
            </w:r>
          </w:p>
        </w:tc>
      </w:tr>
      <w:tr w14:paraId="65C9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4A6CC4BA">
            <w:r>
              <w:rPr>
                <w:sz w:val="20"/>
                <w:szCs w:val="20"/>
              </w:rPr>
              <w:t>Project Name</w:t>
            </w:r>
          </w:p>
        </w:tc>
        <w:tc>
          <w:tcPr>
            <w:tcW w:w="6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558CAA11">
            <w:r>
              <w:rPr>
                <w:sz w:val="20"/>
                <w:szCs w:val="20"/>
              </w:rPr>
              <w:t>CoFraud (Abuse-Ring Sentinel)</w:t>
            </w:r>
          </w:p>
        </w:tc>
      </w:tr>
      <w:tr w14:paraId="4BDD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47E10CAB">
            <w:r>
              <w:rPr>
                <w:sz w:val="20"/>
                <w:szCs w:val="20"/>
              </w:rPr>
              <w:t>Track</w:t>
            </w:r>
          </w:p>
        </w:tc>
        <w:tc>
          <w:tcPr>
            <w:tcW w:w="64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563500F2">
            <w:r>
              <w:rPr>
                <w:sz w:val="20"/>
                <w:szCs w:val="20"/>
              </w:rPr>
              <w:t>Track 02 — AI Risk Manager</w:t>
            </w:r>
          </w:p>
        </w:tc>
      </w:tr>
      <w:tr w14:paraId="25EF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4B316924">
            <w:r>
              <w:rPr>
                <w:sz w:val="20"/>
                <w:szCs w:val="20"/>
              </w:rPr>
              <w:t>Submitted By</w:t>
            </w:r>
          </w:p>
        </w:tc>
        <w:tc>
          <w:tcPr>
            <w:tcW w:w="6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3E17C2A3">
            <w:r>
              <w:rPr>
                <w:sz w:val="20"/>
                <w:szCs w:val="20"/>
              </w:rPr>
              <w:t>Nandini Singh</w:t>
            </w:r>
          </w:p>
        </w:tc>
      </w:tr>
      <w:tr w14:paraId="247D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3A4DCD2E">
            <w:r>
              <w:rPr>
                <w:sz w:val="20"/>
                <w:szCs w:val="20"/>
              </w:rPr>
              <w:t>Institute</w:t>
            </w:r>
          </w:p>
        </w:tc>
        <w:tc>
          <w:tcPr>
            <w:tcW w:w="64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3DF81CC2">
            <w:r>
              <w:rPr>
                <w:sz w:val="20"/>
                <w:szCs w:val="20"/>
              </w:rPr>
              <w:t>Indore Institute of Science and Technology</w:t>
            </w:r>
          </w:p>
        </w:tc>
      </w:tr>
      <w:tr w14:paraId="5E2F2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6C03BD89">
            <w:r>
              <w:rPr>
                <w:sz w:val="20"/>
                <w:szCs w:val="20"/>
              </w:rPr>
              <w:t>Program</w:t>
            </w:r>
          </w:p>
        </w:tc>
        <w:tc>
          <w:tcPr>
            <w:tcW w:w="6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41DE652F">
            <w:r>
              <w:rPr>
                <w:sz w:val="20"/>
                <w:szCs w:val="20"/>
              </w:rPr>
              <w:t>B.Tech, AI &amp; ML — 4th Year</w:t>
            </w:r>
          </w:p>
        </w:tc>
      </w:tr>
      <w:tr w14:paraId="253B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364C2FFC">
            <w:r>
              <w:rPr>
                <w:sz w:val="20"/>
                <w:szCs w:val="20"/>
              </w:rPr>
              <w:t>Live Demo</w:t>
            </w:r>
          </w:p>
        </w:tc>
        <w:tc>
          <w:tcPr>
            <w:tcW w:w="64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7D808380">
            <w:r>
              <w:rPr>
                <w:sz w:val="20"/>
                <w:szCs w:val="20"/>
              </w:rPr>
              <w:t>https://abuse-ring-sentinel-drab.vercel.app/</w:t>
            </w:r>
          </w:p>
        </w:tc>
      </w:tr>
      <w:tr w14:paraId="2DCC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1FB6CE3F">
            <w:r>
              <w:rPr>
                <w:sz w:val="20"/>
                <w:szCs w:val="20"/>
              </w:rPr>
              <w:t>License</w:t>
            </w:r>
          </w:p>
        </w:tc>
        <w:tc>
          <w:tcPr>
            <w:tcW w:w="6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4A3FD621">
            <w:r>
              <w:rPr>
                <w:sz w:val="20"/>
                <w:szCs w:val="20"/>
              </w:rPr>
              <w:t>MIT License (see Section 17)</w:t>
            </w:r>
          </w:p>
        </w:tc>
      </w:tr>
    </w:tbl>
    <w:p w14:paraId="5B09343C">
      <w:pPr>
        <w:spacing w:after="240"/>
      </w:pPr>
    </w:p>
    <w:p w14:paraId="44B6A55F">
      <w:pPr>
        <w:pStyle w:val="2"/>
        <w:spacing w:before="320" w:after="160"/>
      </w:pPr>
      <w:r>
        <w:rPr>
          <w:b/>
          <w:bCs/>
          <w:color w:val="1F3864"/>
        </w:rPr>
        <w:t>1. The Problem</w:t>
      </w:r>
    </w:p>
    <w:p w14:paraId="18D54B70">
      <w:pPr>
        <w:spacing w:after="160"/>
      </w:pPr>
      <w:r>
        <w:t>A single fraudulent transaction is easy to hide. Ten accounts secretly run by the same person, sharing the same phone and the same Wi-Fi connection, are much harder to hide — but almost every fraud system today still looks at one transaction at a time.</w:t>
      </w:r>
    </w:p>
    <w:p w14:paraId="07327BA1">
      <w:pPr>
        <w:spacing w:after="160"/>
      </w:pPr>
      <w:r>
        <w:t>Abuse-Ring Sentinel closes that gap. It builds a connection graph between accounts (who shares a device, who shares an IP) and flags the whole group when the group's behavior looks coordinated — not just the one transaction that happened to look suspicious.</w:t>
      </w:r>
    </w:p>
    <w:p w14:paraId="6746CBAF">
      <w:pPr>
        <w:pStyle w:val="2"/>
        <w:spacing w:before="320" w:after="160"/>
      </w:pPr>
      <w:r>
        <w:rPr>
          <w:b/>
          <w:bCs/>
          <w:color w:val="1F3864"/>
        </w:rPr>
        <w:t>2. Why This Matters</w:t>
      </w:r>
    </w:p>
    <w:p w14:paraId="12F15184">
      <w:pPr>
        <w:pStyle w:val="17"/>
        <w:numPr>
          <w:ilvl w:val="0"/>
          <w:numId w:val="1"/>
        </w:numPr>
        <w:spacing w:after="80"/>
      </w:pPr>
      <w:r>
        <w:t>Global fraud losses in payments are estimated in the tens of billions of dollars a year, and the cost of wrongly blocking a genuine customer can be even higher — blocked customers frequently stop using the platform for good.</w:t>
      </w:r>
    </w:p>
    <w:p w14:paraId="3F8B3B72">
      <w:pPr>
        <w:pStyle w:val="17"/>
        <w:numPr>
          <w:ilvl w:val="0"/>
          <w:numId w:val="1"/>
        </w:numPr>
        <w:spacing w:after="80"/>
      </w:pPr>
      <w:r>
        <w:rPr>
          <w:rStyle w:val="15"/>
          <w:rFonts w:hint="default" w:ascii="Times New Roman" w:hAnsi="Times New Roman" w:eastAsia="SimSun" w:cs="Times New Roman"/>
          <w:b w:val="0"/>
          <w:bCs w:val="0"/>
          <w:sz w:val="24"/>
          <w:szCs w:val="24"/>
        </w:rPr>
        <w:t>Research on graph-based fraud detection shows that fraud rings are a structural problem: individual transactions or accounts can appear normal in isolation, while network analysis can reveal coordinated patterns across connected entities [5].</w:t>
      </w:r>
      <w:r>
        <w:rPr>
          <w:rFonts w:ascii="SimSun" w:hAnsi="SimSun" w:eastAsia="SimSun" w:cs="SimSun"/>
          <w:sz w:val="24"/>
          <w:szCs w:val="24"/>
        </w:rPr>
        <w:t xml:space="preserve"> </w:t>
      </w:r>
    </w:p>
    <w:p w14:paraId="0ADD30EE">
      <w:pPr>
        <w:pStyle w:val="17"/>
        <w:numPr>
          <w:ilvl w:val="0"/>
          <w:numId w:val="1"/>
        </w:numPr>
        <w:spacing w:after="80"/>
      </w:pPr>
      <w:r>
        <w:t>This is exactly the brief for the AI Risk Manager track: a working detector, honestly measured, that is strictly defense-only.</w:t>
      </w:r>
    </w:p>
    <w:p w14:paraId="2232AECC">
      <w:pPr>
        <w:pStyle w:val="2"/>
        <w:spacing w:before="320" w:after="160"/>
      </w:pPr>
      <w:r>
        <w:rPr>
          <w:b/>
          <w:bCs/>
          <w:color w:val="1F3864"/>
        </w:rPr>
        <w:t>3. Fit With the Track</w:t>
      </w:r>
      <w:bookmarkStart w:id="0" w:name="_GoBack"/>
      <w:bookmarkEnd w:id="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5395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03C65E62">
            <w:r>
              <w:rPr>
                <w:b/>
                <w:bCs/>
                <w:color w:val="FFFFFF"/>
                <w:sz w:val="20"/>
                <w:szCs w:val="20"/>
              </w:rPr>
              <w:t>Track Requirement</w:t>
            </w:r>
          </w:p>
        </w:tc>
        <w:tc>
          <w:tcPr>
            <w:tcW w:w="5826"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15435F2B">
            <w:r>
              <w:rPr>
                <w:b/>
                <w:bCs/>
                <w:color w:val="FFFFFF"/>
                <w:sz w:val="20"/>
                <w:szCs w:val="20"/>
              </w:rPr>
              <w:t>How Abuse-Ring Sentinel Meets It</w:t>
            </w:r>
          </w:p>
        </w:tc>
      </w:tr>
      <w:tr w14:paraId="04D0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053D8617">
            <w:r>
              <w:rPr>
                <w:sz w:val="20"/>
                <w:szCs w:val="20"/>
              </w:rPr>
              <w:t>One well-defined loss class</w:t>
            </w:r>
          </w:p>
        </w:tc>
        <w:tc>
          <w:tcPr>
            <w:tcW w:w="58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0D770CC5">
            <w:r>
              <w:rPr>
                <w:sz w:val="20"/>
                <w:szCs w:val="20"/>
              </w:rPr>
              <w:t>Fraud rings / coordinated multi-account abuse</w:t>
            </w:r>
          </w:p>
        </w:tc>
      </w:tr>
      <w:tr w14:paraId="09D2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03A9B8D0">
            <w:r>
              <w:rPr>
                <w:sz w:val="20"/>
                <w:szCs w:val="20"/>
              </w:rPr>
              <w:t>Working detector with precision &amp; recall</w:t>
            </w:r>
          </w:p>
        </w:tc>
        <w:tc>
          <w:tcPr>
            <w:tcW w:w="58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5EA3339F">
            <w:r>
              <w:rPr>
                <w:sz w:val="20"/>
                <w:szCs w:val="20"/>
              </w:rPr>
              <w:t>XGBoost model, evaluated on a held-out, time-based test set</w:t>
            </w:r>
          </w:p>
        </w:tc>
      </w:tr>
      <w:tr w14:paraId="7D4FA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3CBD9848">
            <w:r>
              <w:rPr>
                <w:sz w:val="20"/>
                <w:szCs w:val="20"/>
              </w:rPr>
              <w:t>Honest false-positive cost</w:t>
            </w:r>
          </w:p>
        </w:tc>
        <w:tc>
          <w:tcPr>
            <w:tcW w:w="58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2DB05F32">
            <w:r>
              <w:rPr>
                <w:sz w:val="20"/>
                <w:szCs w:val="20"/>
              </w:rPr>
              <w:t>Explicit cost model weighing blocked-customer loss against fraud loss</w:t>
            </w:r>
          </w:p>
        </w:tc>
      </w:tr>
      <w:tr w14:paraId="3B2B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401CE939">
            <w:r>
              <w:rPr>
                <w:sz w:val="20"/>
                <w:szCs w:val="20"/>
              </w:rPr>
              <w:t>Strictly defense-only</w:t>
            </w:r>
          </w:p>
        </w:tc>
        <w:tc>
          <w:tcPr>
            <w:tcW w:w="58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31C2187D">
            <w:r>
              <w:rPr>
                <w:sz w:val="20"/>
                <w:szCs w:val="20"/>
              </w:rPr>
              <w:t>The system only scores and flags for human review — it never blocks, bans, or reverses anything automatically</w:t>
            </w:r>
          </w:p>
        </w:tc>
      </w:tr>
    </w:tbl>
    <w:p w14:paraId="45551CE5">
      <w:pPr>
        <w:pStyle w:val="2"/>
        <w:spacing w:before="320" w:after="160"/>
      </w:pPr>
      <w:r>
        <w:rPr>
          <w:b/>
          <w:bCs/>
          <w:color w:val="1F3864"/>
        </w:rPr>
        <w:t>4. System Architecture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26"/>
      </w:tblGrid>
      <w:tr w14:paraId="5472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gridSpan w:val="2"/>
            <w:tcBorders>
              <w:top w:val="single" w:color="9DB6D9" w:sz="4" w:space="0"/>
              <w:left w:val="single" w:color="9DB6D9" w:sz="4" w:space="0"/>
              <w:bottom w:val="single" w:color="9DB6D9" w:sz="4" w:space="0"/>
              <w:right w:val="single" w:color="9DB6D9" w:sz="4" w:space="0"/>
            </w:tcBorders>
            <w:shd w:val="clear" w:color="auto" w:fill="D6E4F5"/>
            <w:tcMar>
              <w:top w:w="120" w:type="dxa"/>
              <w:left w:w="140" w:type="dxa"/>
              <w:bottom w:w="120" w:type="dxa"/>
              <w:right w:w="140" w:type="dxa"/>
            </w:tcMar>
            <w:vAlign w:val="center"/>
          </w:tcPr>
          <w:p w14:paraId="15620F2A">
            <w:pPr>
              <w:spacing w:after="40"/>
              <w:jc w:val="center"/>
            </w:pPr>
            <w:r>
              <w:rPr>
                <w:b/>
                <w:bCs/>
                <w:color w:val="1F3864"/>
                <w:sz w:val="20"/>
                <w:szCs w:val="20"/>
              </w:rPr>
              <w:t>RAW TRANSACTION DATA
(amount, device, IP, signup/purchase time)</w:t>
            </w:r>
          </w:p>
        </w:tc>
      </w:tr>
      <w:tr w14:paraId="601A0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2"/>
            <w:tcBorders>
              <w:top w:val="nil"/>
              <w:left w:val="nil"/>
              <w:bottom w:val="nil"/>
              <w:right w:val="nil"/>
            </w:tcBorders>
          </w:tcPr>
          <w:p w14:paraId="063B1AA7">
            <w:pPr>
              <w:jc w:val="center"/>
            </w:pPr>
            <w:r>
              <w:rPr>
                <w:b/>
                <w:bCs/>
                <w:color w:val="2E5C99"/>
                <w:sz w:val="28"/>
                <w:szCs w:val="28"/>
              </w:rPr>
              <w:t>↓</w:t>
            </w:r>
          </w:p>
        </w:tc>
      </w:tr>
      <w:tr w14:paraId="6AA4E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DB6D9" w:sz="4" w:space="0"/>
              <w:left w:val="single" w:color="9DB6D9" w:sz="4" w:space="0"/>
              <w:bottom w:val="single" w:color="9DB6D9" w:sz="4" w:space="0"/>
              <w:right w:val="single" w:color="9DB6D9" w:sz="4" w:space="0"/>
            </w:tcBorders>
            <w:shd w:val="clear" w:color="auto" w:fill="EAF1FB"/>
            <w:tcMar>
              <w:top w:w="120" w:type="dxa"/>
              <w:left w:w="140" w:type="dxa"/>
              <w:bottom w:w="120" w:type="dxa"/>
              <w:right w:w="140" w:type="dxa"/>
            </w:tcMar>
            <w:vAlign w:val="center"/>
          </w:tcPr>
          <w:p w14:paraId="73246C6B">
            <w:pPr>
              <w:spacing w:after="40"/>
              <w:jc w:val="center"/>
            </w:pPr>
            <w:r>
              <w:rPr>
                <w:b/>
                <w:bCs/>
                <w:color w:val="1F3864"/>
                <w:sz w:val="20"/>
                <w:szCs w:val="20"/>
              </w:rPr>
              <w:t>TABULAR FEATURES</w:t>
            </w:r>
          </w:p>
          <w:p w14:paraId="0A7AF664">
            <w:pPr>
              <w:spacing w:after="40"/>
              <w:jc w:val="center"/>
            </w:pPr>
            <w:r>
              <w:rPr>
                <w:b/>
                <w:bCs/>
                <w:color w:val="1F3864"/>
                <w:sz w:val="20"/>
                <w:szCs w:val="20"/>
              </w:rPr>
              <w:t>(per transaction)</w:t>
            </w:r>
          </w:p>
          <w:p w14:paraId="3E7DB762">
            <w:pPr>
              <w:spacing w:after="40"/>
              <w:jc w:val="center"/>
            </w:pPr>
            <w:r>
              <w:rPr>
                <w:b/>
                <w:bCs/>
                <w:color w:val="1F3864"/>
                <w:sz w:val="20"/>
                <w:szCs w:val="20"/>
              </w:rPr>
              <w:t>amount • account age • velocity • category</w:t>
            </w:r>
          </w:p>
        </w:tc>
        <w:tc>
          <w:tcPr>
            <w:tcW w:w="4526" w:type="dxa"/>
            <w:tcBorders>
              <w:top w:val="single" w:color="9DB6D9" w:sz="4" w:space="0"/>
              <w:left w:val="single" w:color="9DB6D9" w:sz="4" w:space="0"/>
              <w:bottom w:val="single" w:color="9DB6D9" w:sz="4" w:space="0"/>
              <w:right w:val="single" w:color="9DB6D9" w:sz="4" w:space="0"/>
            </w:tcBorders>
            <w:shd w:val="clear" w:color="auto" w:fill="EAF1FB"/>
            <w:tcMar>
              <w:top w:w="120" w:type="dxa"/>
              <w:left w:w="140" w:type="dxa"/>
              <w:bottom w:w="120" w:type="dxa"/>
              <w:right w:w="140" w:type="dxa"/>
            </w:tcMar>
            <w:vAlign w:val="center"/>
          </w:tcPr>
          <w:p w14:paraId="203FF9E7">
            <w:pPr>
              <w:spacing w:after="40"/>
              <w:jc w:val="center"/>
            </w:pPr>
            <w:r>
              <w:rPr>
                <w:b/>
                <w:bCs/>
                <w:color w:val="1F3864"/>
                <w:sz w:val="20"/>
                <w:szCs w:val="20"/>
              </w:rPr>
              <w:t>GRAPH FEATURES</w:t>
            </w:r>
          </w:p>
          <w:p w14:paraId="3BD0A656">
            <w:pPr>
              <w:spacing w:after="40"/>
              <w:jc w:val="center"/>
            </w:pPr>
            <w:r>
              <w:rPr>
                <w:b/>
                <w:bCs/>
                <w:color w:val="1F3864"/>
                <w:sz w:val="20"/>
                <w:szCs w:val="20"/>
              </w:rPr>
              <w:t>(per account, via graph)</w:t>
            </w:r>
          </w:p>
          <w:p w14:paraId="6F4D13B1">
            <w:pPr>
              <w:spacing w:after="40"/>
              <w:jc w:val="center"/>
            </w:pPr>
            <w:r>
              <w:rPr>
                <w:b/>
                <w:bCs/>
                <w:color w:val="1F3864"/>
                <w:sz w:val="20"/>
                <w:szCs w:val="20"/>
              </w:rPr>
              <w:t>accounts = nodes</w:t>
            </w:r>
          </w:p>
          <w:p w14:paraId="122A58E2">
            <w:pPr>
              <w:spacing w:after="40"/>
              <w:jc w:val="center"/>
            </w:pPr>
            <w:r>
              <w:rPr>
                <w:b/>
                <w:bCs/>
                <w:color w:val="1F3864"/>
                <w:sz w:val="20"/>
                <w:szCs w:val="20"/>
              </w:rPr>
              <w:t>shared device/IP = edges</w:t>
            </w:r>
          </w:p>
        </w:tc>
      </w:tr>
      <w:tr w14:paraId="25AAA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DB6D9" w:sz="4" w:space="0"/>
              <w:left w:val="single" w:color="9DB6D9" w:sz="4" w:space="0"/>
              <w:bottom w:val="single" w:color="9DB6D9" w:sz="4" w:space="0"/>
              <w:right w:val="single" w:color="9DB6D9" w:sz="4" w:space="0"/>
            </w:tcBorders>
            <w:shd w:val="clear" w:color="auto" w:fill="FFFFFF"/>
            <w:tcMar>
              <w:top w:w="120" w:type="dxa"/>
              <w:left w:w="140" w:type="dxa"/>
              <w:bottom w:w="120" w:type="dxa"/>
              <w:right w:w="140" w:type="dxa"/>
            </w:tcMar>
            <w:vAlign w:val="center"/>
          </w:tcPr>
          <w:p w14:paraId="2B478B44">
            <w:pPr>
              <w:spacing w:after="40"/>
              <w:jc w:val="center"/>
            </w:pPr>
          </w:p>
        </w:tc>
        <w:tc>
          <w:tcPr>
            <w:tcW w:w="4526" w:type="dxa"/>
            <w:tcBorders>
              <w:top w:val="single" w:color="9DB6D9" w:sz="4" w:space="0"/>
              <w:left w:val="single" w:color="9DB6D9" w:sz="4" w:space="0"/>
              <w:bottom w:val="single" w:color="9DB6D9" w:sz="4" w:space="0"/>
              <w:right w:val="single" w:color="9DB6D9" w:sz="4" w:space="0"/>
            </w:tcBorders>
            <w:shd w:val="clear" w:color="auto" w:fill="EAF1FB"/>
            <w:tcMar>
              <w:top w:w="120" w:type="dxa"/>
              <w:left w:w="140" w:type="dxa"/>
              <w:bottom w:w="120" w:type="dxa"/>
              <w:right w:w="140" w:type="dxa"/>
            </w:tcMar>
            <w:vAlign w:val="center"/>
          </w:tcPr>
          <w:p w14:paraId="5C1629AE">
            <w:pPr>
              <w:spacing w:after="40"/>
              <w:jc w:val="center"/>
            </w:pPr>
            <w:r>
              <w:rPr>
                <w:color w:val="1F3864"/>
                <w:sz w:val="20"/>
                <w:szCs w:val="20"/>
              </w:rPr>
              <w:t>Detect clusters</w:t>
            </w:r>
          </w:p>
          <w:p w14:paraId="68D29898">
            <w:pPr>
              <w:spacing w:after="40"/>
              <w:jc w:val="center"/>
            </w:pPr>
            <w:r>
              <w:rPr>
                <w:color w:val="1F3864"/>
                <w:sz w:val="20"/>
                <w:szCs w:val="20"/>
              </w:rPr>
              <w:t>(Louvain community detection)</w:t>
            </w:r>
          </w:p>
        </w:tc>
      </w:tr>
      <w:tr w14:paraId="5CAFF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DB6D9" w:sz="4" w:space="0"/>
              <w:left w:val="single" w:color="9DB6D9" w:sz="4" w:space="0"/>
              <w:bottom w:val="single" w:color="9DB6D9" w:sz="4" w:space="0"/>
              <w:right w:val="single" w:color="9DB6D9" w:sz="4" w:space="0"/>
            </w:tcBorders>
            <w:shd w:val="clear" w:color="auto" w:fill="FFFFFF"/>
            <w:tcMar>
              <w:top w:w="120" w:type="dxa"/>
              <w:left w:w="140" w:type="dxa"/>
              <w:bottom w:w="120" w:type="dxa"/>
              <w:right w:w="140" w:type="dxa"/>
            </w:tcMar>
            <w:vAlign w:val="center"/>
          </w:tcPr>
          <w:p w14:paraId="074A10A9">
            <w:pPr>
              <w:spacing w:after="40"/>
              <w:jc w:val="center"/>
            </w:pPr>
          </w:p>
        </w:tc>
        <w:tc>
          <w:tcPr>
            <w:tcW w:w="4526" w:type="dxa"/>
            <w:tcBorders>
              <w:top w:val="single" w:color="9DB6D9" w:sz="4" w:space="0"/>
              <w:left w:val="single" w:color="9DB6D9" w:sz="4" w:space="0"/>
              <w:bottom w:val="single" w:color="9DB6D9" w:sz="4" w:space="0"/>
              <w:right w:val="single" w:color="9DB6D9" w:sz="4" w:space="0"/>
            </w:tcBorders>
            <w:shd w:val="clear" w:color="auto" w:fill="EAF1FB"/>
            <w:tcMar>
              <w:top w:w="120" w:type="dxa"/>
              <w:left w:w="140" w:type="dxa"/>
              <w:bottom w:w="120" w:type="dxa"/>
              <w:right w:w="140" w:type="dxa"/>
            </w:tcMar>
            <w:vAlign w:val="center"/>
          </w:tcPr>
          <w:p w14:paraId="033D85A4">
            <w:pPr>
              <w:spacing w:after="40"/>
              <w:jc w:val="center"/>
            </w:pPr>
            <w:r>
              <w:rPr>
                <w:color w:val="1F3864"/>
                <w:sz w:val="20"/>
                <w:szCs w:val="20"/>
              </w:rPr>
              <w:t>Extract per account:</w:t>
            </w:r>
          </w:p>
          <w:p w14:paraId="47239FF1">
            <w:pPr>
              <w:spacing w:after="40"/>
              <w:jc w:val="center"/>
            </w:pPr>
            <w:r>
              <w:rPr>
                <w:color w:val="1F3864"/>
                <w:sz w:val="20"/>
                <w:szCs w:val="20"/>
              </w:rPr>
              <w:t>cluster size, connection strength,</w:t>
            </w:r>
          </w:p>
          <w:p w14:paraId="1FF91932">
            <w:pPr>
              <w:spacing w:after="40"/>
              <w:jc w:val="center"/>
            </w:pPr>
            <w:r>
              <w:rPr>
                <w:color w:val="1F3864"/>
                <w:sz w:val="20"/>
                <w:szCs w:val="20"/>
              </w:rPr>
              <w:t>cluster fraud rate</w:t>
            </w:r>
          </w:p>
        </w:tc>
      </w:tr>
      <w:tr w14:paraId="24FF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2"/>
            <w:tcBorders>
              <w:top w:val="nil"/>
              <w:left w:val="nil"/>
              <w:bottom w:val="nil"/>
              <w:right w:val="nil"/>
            </w:tcBorders>
          </w:tcPr>
          <w:p w14:paraId="036206B7">
            <w:pPr>
              <w:jc w:val="center"/>
            </w:pPr>
            <w:r>
              <w:rPr>
                <w:b/>
                <w:bCs/>
                <w:color w:val="2E5C99"/>
                <w:sz w:val="28"/>
                <w:szCs w:val="28"/>
              </w:rPr>
              <w:t>↓</w:t>
            </w:r>
          </w:p>
        </w:tc>
      </w:tr>
      <w:tr w14:paraId="5521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2"/>
            <w:tcBorders>
              <w:top w:val="single" w:color="9DB6D9" w:sz="4" w:space="0"/>
              <w:left w:val="single" w:color="9DB6D9" w:sz="4" w:space="0"/>
              <w:bottom w:val="single" w:color="9DB6D9" w:sz="4" w:space="0"/>
              <w:right w:val="single" w:color="9DB6D9" w:sz="4" w:space="0"/>
            </w:tcBorders>
            <w:shd w:val="clear" w:color="auto" w:fill="D6E4F5"/>
            <w:tcMar>
              <w:top w:w="120" w:type="dxa"/>
              <w:left w:w="140" w:type="dxa"/>
              <w:bottom w:w="120" w:type="dxa"/>
              <w:right w:w="140" w:type="dxa"/>
            </w:tcMar>
            <w:vAlign w:val="center"/>
          </w:tcPr>
          <w:p w14:paraId="42F18757">
            <w:pPr>
              <w:spacing w:after="40"/>
              <w:jc w:val="center"/>
            </w:pPr>
            <w:r>
              <w:rPr>
                <w:b/>
                <w:bCs/>
                <w:color w:val="1F3864"/>
                <w:sz w:val="20"/>
                <w:szCs w:val="20"/>
              </w:rPr>
              <w:t>FUSION MODEL (XGBoost)
tabular + graph features → fraud probability</w:t>
            </w:r>
          </w:p>
        </w:tc>
      </w:tr>
      <w:tr w14:paraId="659AB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2"/>
            <w:tcBorders>
              <w:top w:val="nil"/>
              <w:left w:val="nil"/>
              <w:bottom w:val="nil"/>
              <w:right w:val="nil"/>
            </w:tcBorders>
          </w:tcPr>
          <w:p w14:paraId="1F7E01B3">
            <w:pPr>
              <w:jc w:val="center"/>
            </w:pPr>
            <w:r>
              <w:rPr>
                <w:b/>
                <w:bCs/>
                <w:color w:val="2E5C99"/>
                <w:sz w:val="28"/>
                <w:szCs w:val="28"/>
              </w:rPr>
              <w:t>↓</w:t>
            </w:r>
          </w:p>
        </w:tc>
      </w:tr>
      <w:tr w14:paraId="3510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9DB6D9" w:sz="4" w:space="0"/>
              <w:left w:val="single" w:color="9DB6D9" w:sz="4" w:space="0"/>
              <w:bottom w:val="single" w:color="9DB6D9" w:sz="4" w:space="0"/>
              <w:right w:val="single" w:color="9DB6D9" w:sz="4" w:space="0"/>
            </w:tcBorders>
            <w:shd w:val="clear" w:color="auto" w:fill="EAF1FB"/>
            <w:tcMar>
              <w:top w:w="120" w:type="dxa"/>
              <w:left w:w="140" w:type="dxa"/>
              <w:bottom w:w="120" w:type="dxa"/>
              <w:right w:w="140" w:type="dxa"/>
            </w:tcMar>
            <w:vAlign w:val="center"/>
          </w:tcPr>
          <w:p w14:paraId="10310B67">
            <w:pPr>
              <w:spacing w:after="40"/>
              <w:jc w:val="center"/>
            </w:pPr>
            <w:r>
              <w:rPr>
                <w:b/>
                <w:bCs/>
                <w:color w:val="1F3864"/>
                <w:sz w:val="20"/>
                <w:szCs w:val="20"/>
              </w:rPr>
              <w:t>SHAP EXPLAINER</w:t>
            </w:r>
          </w:p>
          <w:p w14:paraId="4106BC29">
            <w:pPr>
              <w:spacing w:after="40"/>
              <w:jc w:val="center"/>
            </w:pPr>
            <w:r>
              <w:rPr>
                <w:b/>
                <w:bCs/>
                <w:color w:val="1F3864"/>
                <w:sz w:val="20"/>
                <w:szCs w:val="20"/>
              </w:rPr>
              <w:t>“why flagged?”</w:t>
            </w:r>
          </w:p>
        </w:tc>
        <w:tc>
          <w:tcPr>
            <w:tcW w:w="4526" w:type="dxa"/>
            <w:tcBorders>
              <w:top w:val="single" w:color="9DB6D9" w:sz="4" w:space="0"/>
              <w:left w:val="single" w:color="9DB6D9" w:sz="4" w:space="0"/>
              <w:bottom w:val="single" w:color="9DB6D9" w:sz="4" w:space="0"/>
              <w:right w:val="single" w:color="9DB6D9" w:sz="4" w:space="0"/>
            </w:tcBorders>
            <w:shd w:val="clear" w:color="auto" w:fill="EAF1FB"/>
            <w:tcMar>
              <w:top w:w="120" w:type="dxa"/>
              <w:left w:w="140" w:type="dxa"/>
              <w:bottom w:w="120" w:type="dxa"/>
              <w:right w:w="140" w:type="dxa"/>
            </w:tcMar>
            <w:vAlign w:val="center"/>
          </w:tcPr>
          <w:p w14:paraId="5DCD7C04">
            <w:pPr>
              <w:spacing w:after="40"/>
              <w:jc w:val="center"/>
            </w:pPr>
            <w:r>
              <w:rPr>
                <w:b/>
                <w:bCs/>
                <w:color w:val="1F3864"/>
                <w:sz w:val="20"/>
                <w:szCs w:val="20"/>
              </w:rPr>
              <w:t>COST-BASED THRESHOLD</w:t>
            </w:r>
          </w:p>
          <w:p w14:paraId="02850943">
            <w:pPr>
              <w:spacing w:after="40"/>
              <w:jc w:val="center"/>
            </w:pPr>
            <w:r>
              <w:rPr>
                <w:b/>
                <w:bCs/>
                <w:color w:val="1F3864"/>
                <w:sz w:val="20"/>
                <w:szCs w:val="20"/>
              </w:rPr>
              <w:t>(balances FP vs FN cost, not just 0.5)</w:t>
            </w:r>
          </w:p>
        </w:tc>
      </w:tr>
      <w:tr w14:paraId="0FEB8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2"/>
            <w:tcBorders>
              <w:top w:val="nil"/>
              <w:left w:val="nil"/>
              <w:bottom w:val="nil"/>
              <w:right w:val="nil"/>
            </w:tcBorders>
          </w:tcPr>
          <w:p w14:paraId="0A294712">
            <w:pPr>
              <w:jc w:val="center"/>
            </w:pPr>
            <w:r>
              <w:rPr>
                <w:b/>
                <w:bCs/>
                <w:color w:val="2E5C99"/>
                <w:sz w:val="28"/>
                <w:szCs w:val="28"/>
              </w:rPr>
              <w:t>↓</w:t>
            </w:r>
          </w:p>
        </w:tc>
      </w:tr>
      <w:tr w14:paraId="60A7A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2"/>
            <w:tcBorders>
              <w:top w:val="single" w:color="9DB6D9" w:sz="4" w:space="0"/>
              <w:left w:val="single" w:color="9DB6D9" w:sz="4" w:space="0"/>
              <w:bottom w:val="single" w:color="9DB6D9" w:sz="4" w:space="0"/>
              <w:right w:val="single" w:color="9DB6D9" w:sz="4" w:space="0"/>
            </w:tcBorders>
            <w:shd w:val="clear" w:color="auto" w:fill="FCEFD0"/>
            <w:tcMar>
              <w:top w:w="120" w:type="dxa"/>
              <w:left w:w="140" w:type="dxa"/>
              <w:bottom w:w="120" w:type="dxa"/>
              <w:right w:w="140" w:type="dxa"/>
            </w:tcMar>
            <w:vAlign w:val="center"/>
          </w:tcPr>
          <w:p w14:paraId="4D215938">
            <w:pPr>
              <w:spacing w:after="40"/>
              <w:jc w:val="center"/>
            </w:pPr>
            <w:r>
              <w:rPr>
                <w:b/>
                <w:bCs/>
                <w:color w:val="1F3864"/>
                <w:sz w:val="20"/>
                <w:szCs w:val="20"/>
              </w:rPr>
              <w:t>RISK OUTPUT (defense only)
LOW / REVIEW / HOLD + explanation + audit log</w:t>
            </w:r>
          </w:p>
        </w:tc>
      </w:tr>
      <w:tr w14:paraId="2733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2"/>
            <w:tcBorders>
              <w:top w:val="nil"/>
              <w:left w:val="nil"/>
              <w:bottom w:val="nil"/>
              <w:right w:val="nil"/>
            </w:tcBorders>
          </w:tcPr>
          <w:p w14:paraId="7BFCB6FB">
            <w:pPr>
              <w:jc w:val="center"/>
            </w:pPr>
            <w:r>
              <w:rPr>
                <w:b/>
                <w:bCs/>
                <w:color w:val="2E5C99"/>
                <w:sz w:val="28"/>
                <w:szCs w:val="28"/>
              </w:rPr>
              <w:t>↓</w:t>
            </w:r>
          </w:p>
        </w:tc>
      </w:tr>
      <w:tr w14:paraId="6536C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2"/>
            <w:tcBorders>
              <w:top w:val="single" w:color="9DB6D9" w:sz="4" w:space="0"/>
              <w:left w:val="single" w:color="9DB6D9" w:sz="4" w:space="0"/>
              <w:bottom w:val="single" w:color="9DB6D9" w:sz="4" w:space="0"/>
              <w:right w:val="single" w:color="9DB6D9" w:sz="4" w:space="0"/>
            </w:tcBorders>
            <w:shd w:val="clear" w:color="auto" w:fill="FBE0E0"/>
            <w:tcMar>
              <w:top w:w="120" w:type="dxa"/>
              <w:left w:w="140" w:type="dxa"/>
              <w:bottom w:w="120" w:type="dxa"/>
              <w:right w:w="140" w:type="dxa"/>
            </w:tcMar>
            <w:vAlign w:val="center"/>
          </w:tcPr>
          <w:p w14:paraId="13AB0BF2">
            <w:pPr>
              <w:spacing w:after="40"/>
              <w:jc w:val="center"/>
            </w:pPr>
            <w:r>
              <w:rPr>
                <w:b/>
                <w:bCs/>
                <w:color w:val="1F3864"/>
                <w:sz w:val="20"/>
                <w:szCs w:val="20"/>
              </w:rPr>
              <w:t>HUMAN REVIEW QUEUE
(never auto-blocks anyone)</w:t>
            </w:r>
          </w:p>
        </w:tc>
      </w:tr>
    </w:tbl>
    <w:p w14:paraId="1ED307B9">
      <w:pPr>
        <w:spacing w:after="280"/>
      </w:pPr>
    </w:p>
    <w:p w14:paraId="29BF05F1">
      <w:pPr>
        <w:pStyle w:val="2"/>
        <w:spacing w:before="320" w:after="160"/>
      </w:pPr>
      <w:r>
        <w:rPr>
          <w:b/>
          <w:bCs/>
          <w:color w:val="1F3864"/>
        </w:rPr>
        <w:t>5. How Ring Detection Works</w:t>
      </w:r>
    </w:p>
    <w:p w14:paraId="22ADA797">
      <w:pPr>
        <w:spacing w:before="200" w:after="100"/>
      </w:pPr>
      <w:r>
        <w:rPr>
          <w:b/>
          <w:bCs/>
          <w:color w:val="2E5C99"/>
          <w:sz w:val="24"/>
          <w:szCs w:val="24"/>
        </w:rPr>
        <w:t>Step 1 — Build a graph of shared signals</w:t>
      </w:r>
    </w:p>
    <w:p w14:paraId="4584E4FD">
      <w:pPr>
        <w:spacing w:after="160"/>
      </w:pPr>
      <w:r>
        <w:rPr>
          <w:i/>
          <w:iCs/>
        </w:rPr>
        <w:t>Account A — shared device → Account B  →  shared IP → Account C  →  shared device → Account D  →  shared IP → back to Account A</w:t>
      </w:r>
    </w:p>
    <w:p w14:paraId="5AC34BBA">
      <w:pPr>
        <w:spacing w:before="200" w:after="100"/>
      </w:pPr>
      <w:r>
        <w:rPr>
          <w:b/>
          <w:bCs/>
          <w:color w:val="2E5C99"/>
          <w:sz w:val="24"/>
          <w:szCs w:val="24"/>
        </w:rPr>
        <w:t>Step 2 — Weight each connection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EDC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5C99" w:sz="6" w:space="0"/>
              <w:left w:val="single" w:color="2E5C99" w:sz="6" w:space="0"/>
              <w:bottom w:val="single" w:color="2E5C99" w:sz="6" w:space="0"/>
              <w:right w:val="single" w:color="2E5C99" w:sz="6" w:space="0"/>
            </w:tcBorders>
            <w:shd w:val="clear" w:color="auto" w:fill="EAF1FB"/>
            <w:tcMar>
              <w:top w:w="160" w:type="dxa"/>
              <w:left w:w="200" w:type="dxa"/>
              <w:bottom w:w="160" w:type="dxa"/>
              <w:right w:w="200" w:type="dxa"/>
            </w:tcMar>
          </w:tcPr>
          <w:p w14:paraId="1AB19FF9">
            <w:pPr>
              <w:jc w:val="left"/>
            </w:pPr>
            <w:r>
              <w:rPr>
                <w:i/>
                <w:iCs/>
                <w:color w:val="1F3864"/>
                <w:sz w:val="22"/>
                <w:szCs w:val="22"/>
              </w:rPr>
              <w:t>weight = number of times shared ÷ number of days shared over. A device shared once is weak evidence. A device shared across 20 transactions over 3 months is strong evidence.</w:t>
            </w:r>
          </w:p>
        </w:tc>
      </w:tr>
    </w:tbl>
    <w:p w14:paraId="7D3F59ED">
      <w:pPr>
        <w:spacing w:after="200"/>
      </w:pPr>
    </w:p>
    <w:p w14:paraId="5725320B">
      <w:pPr>
        <w:spacing w:before="200" w:after="100"/>
      </w:pPr>
      <w:r>
        <w:rPr>
          <w:b/>
          <w:bCs/>
          <w:color w:val="2E5C99"/>
          <w:sz w:val="24"/>
          <w:szCs w:val="24"/>
        </w:rPr>
        <w:t>Step 3 — Find dense clusters (Louvain community detection)</w:t>
      </w:r>
    </w:p>
    <w:tbl>
      <w:tblPr>
        <w:tblStyle w:val="9"/>
        <w:tblW w:w="4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tblGrid>
      <w:tr w14:paraId="067D2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9DB6D9" w:sz="4" w:space="0"/>
              <w:left w:val="single" w:color="9DB6D9" w:sz="4" w:space="0"/>
              <w:bottom w:val="single" w:color="9DB6D9" w:sz="4" w:space="0"/>
              <w:right w:val="single" w:color="9DB6D9" w:sz="4" w:space="0"/>
            </w:tcBorders>
            <w:shd w:val="clear" w:color="auto" w:fill="D6E4F5"/>
            <w:tcMar>
              <w:top w:w="120" w:type="dxa"/>
              <w:left w:w="140" w:type="dxa"/>
              <w:bottom w:w="120" w:type="dxa"/>
              <w:right w:w="140" w:type="dxa"/>
            </w:tcMar>
            <w:vAlign w:val="center"/>
          </w:tcPr>
          <w:p w14:paraId="09F9544E">
            <w:pPr>
              <w:spacing w:after="40"/>
              <w:jc w:val="center"/>
            </w:pPr>
            <w:r>
              <w:rPr>
                <w:b/>
                <w:bCs/>
                <w:color w:val="1F3864"/>
                <w:sz w:val="20"/>
                <w:szCs w:val="20"/>
              </w:rPr>
              <w:t>A</w:t>
            </w:r>
          </w:p>
        </w:tc>
        <w:tc>
          <w:tcPr>
            <w:tcW w:w="2250" w:type="dxa"/>
            <w:tcBorders>
              <w:top w:val="single" w:color="9DB6D9" w:sz="4" w:space="0"/>
              <w:left w:val="single" w:color="9DB6D9" w:sz="4" w:space="0"/>
              <w:bottom w:val="single" w:color="9DB6D9" w:sz="4" w:space="0"/>
              <w:right w:val="single" w:color="9DB6D9" w:sz="4" w:space="0"/>
            </w:tcBorders>
            <w:shd w:val="clear" w:color="auto" w:fill="D6E4F5"/>
            <w:tcMar>
              <w:top w:w="120" w:type="dxa"/>
              <w:left w:w="140" w:type="dxa"/>
              <w:bottom w:w="120" w:type="dxa"/>
              <w:right w:w="140" w:type="dxa"/>
            </w:tcMar>
            <w:vAlign w:val="center"/>
          </w:tcPr>
          <w:p w14:paraId="510F6BDB">
            <w:pPr>
              <w:spacing w:after="40"/>
              <w:jc w:val="center"/>
            </w:pPr>
            <w:r>
              <w:rPr>
                <w:b/>
                <w:bCs/>
                <w:color w:val="1F3864"/>
                <w:sz w:val="20"/>
                <w:szCs w:val="20"/>
              </w:rPr>
              <w:t>B</w:t>
            </w:r>
          </w:p>
        </w:tc>
      </w:tr>
      <w:tr w14:paraId="761C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9DB6D9" w:sz="4" w:space="0"/>
              <w:left w:val="single" w:color="9DB6D9" w:sz="4" w:space="0"/>
              <w:bottom w:val="single" w:color="9DB6D9" w:sz="4" w:space="0"/>
              <w:right w:val="single" w:color="9DB6D9" w:sz="4" w:space="0"/>
            </w:tcBorders>
            <w:shd w:val="clear" w:color="auto" w:fill="D6E4F5"/>
            <w:tcMar>
              <w:top w:w="120" w:type="dxa"/>
              <w:left w:w="140" w:type="dxa"/>
              <w:bottom w:w="120" w:type="dxa"/>
              <w:right w:w="140" w:type="dxa"/>
            </w:tcMar>
            <w:vAlign w:val="center"/>
          </w:tcPr>
          <w:p w14:paraId="1F57A78C">
            <w:pPr>
              <w:spacing w:after="40"/>
              <w:jc w:val="center"/>
            </w:pPr>
            <w:r>
              <w:rPr>
                <w:b/>
                <w:bCs/>
                <w:color w:val="1F3864"/>
                <w:sz w:val="20"/>
                <w:szCs w:val="20"/>
              </w:rPr>
              <w:t>D</w:t>
            </w:r>
          </w:p>
        </w:tc>
        <w:tc>
          <w:tcPr>
            <w:tcW w:w="2250" w:type="dxa"/>
            <w:tcBorders>
              <w:top w:val="single" w:color="9DB6D9" w:sz="4" w:space="0"/>
              <w:left w:val="single" w:color="9DB6D9" w:sz="4" w:space="0"/>
              <w:bottom w:val="single" w:color="9DB6D9" w:sz="4" w:space="0"/>
              <w:right w:val="single" w:color="9DB6D9" w:sz="4" w:space="0"/>
            </w:tcBorders>
            <w:shd w:val="clear" w:color="auto" w:fill="D6E4F5"/>
            <w:tcMar>
              <w:top w:w="120" w:type="dxa"/>
              <w:left w:w="140" w:type="dxa"/>
              <w:bottom w:w="120" w:type="dxa"/>
              <w:right w:w="140" w:type="dxa"/>
            </w:tcMar>
            <w:vAlign w:val="center"/>
          </w:tcPr>
          <w:p w14:paraId="765405FB">
            <w:pPr>
              <w:spacing w:after="40"/>
              <w:jc w:val="center"/>
            </w:pPr>
            <w:r>
              <w:rPr>
                <w:b/>
                <w:bCs/>
                <w:color w:val="1F3864"/>
                <w:sz w:val="20"/>
                <w:szCs w:val="20"/>
              </w:rPr>
              <w:t>C</w:t>
            </w:r>
          </w:p>
        </w:tc>
      </w:tr>
    </w:tbl>
    <w:p w14:paraId="376271E5">
      <w:pPr>
        <w:spacing w:after="160"/>
      </w:pPr>
      <w:r>
        <w:rPr>
          <w:i/>
          <w:iCs/>
          <w:sz w:val="20"/>
          <w:szCs w:val="20"/>
        </w:rPr>
        <w:t>Every pair among A, B, C, D is tightly connected — this dense 4-account group is flagged as a single ring.</w:t>
      </w:r>
    </w:p>
    <w:p w14:paraId="649232EC">
      <w:pPr>
        <w:spacing w:before="200" w:after="100"/>
      </w:pPr>
      <w:r>
        <w:rPr>
          <w:b/>
          <w:bCs/>
          <w:color w:val="2E5C99"/>
          <w:sz w:val="24"/>
          <w:szCs w:val="24"/>
        </w:rPr>
        <w:t>Step 4 — Turn each cluster into model features</w:t>
      </w:r>
    </w:p>
    <w:p w14:paraId="595C4F75">
      <w:pPr>
        <w:pStyle w:val="17"/>
        <w:numPr>
          <w:ilvl w:val="0"/>
          <w:numId w:val="1"/>
        </w:numPr>
        <w:spacing w:after="80"/>
      </w:pPr>
      <w:r>
        <w:t>cluster_size — how many accounts are in the group</w:t>
      </w:r>
    </w:p>
    <w:p w14:paraId="55C8985E">
      <w:pPr>
        <w:pStyle w:val="17"/>
        <w:numPr>
          <w:ilvl w:val="0"/>
          <w:numId w:val="1"/>
        </w:numPr>
        <w:spacing w:after="80"/>
      </w:pPr>
      <w:r>
        <w:t>avg_edge_weight — how strong the connections are</w:t>
      </w:r>
    </w:p>
    <w:p w14:paraId="7337C46C">
      <w:pPr>
        <w:pStyle w:val="17"/>
        <w:numPr>
          <w:ilvl w:val="0"/>
          <w:numId w:val="1"/>
        </w:numPr>
        <w:spacing w:after="80"/>
      </w:pPr>
      <w:r>
        <w:t>cluster_fraud_rate — historical fraud rate of this cluster (training data only)</w:t>
      </w:r>
    </w:p>
    <w:p w14:paraId="0C122CDD">
      <w:pPr>
        <w:pStyle w:val="17"/>
        <w:numPr>
          <w:ilvl w:val="0"/>
          <w:numId w:val="1"/>
        </w:numPr>
        <w:spacing w:after="80"/>
      </w:pPr>
      <w:r>
        <w:t>account_connections_in_cluster — how central this specific account is</w:t>
      </w:r>
    </w:p>
    <w:p w14:paraId="7984EE95">
      <w:pPr>
        <w:pStyle w:val="2"/>
        <w:spacing w:before="320" w:after="160"/>
      </w:pPr>
      <w:r>
        <w:rPr>
          <w:b/>
          <w:bCs/>
          <w:color w:val="1F3864"/>
        </w:rPr>
        <w:t>6. Evaluation Design — Keeping It Honest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18"/>
        <w:gridCol w:w="3008"/>
      </w:tblGrid>
      <w:tr w14:paraId="75BB4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8" w:type="dxa"/>
            <w:tcBorders>
              <w:top w:val="single" w:color="9DB6D9" w:sz="4" w:space="0"/>
              <w:left w:val="single" w:color="9DB6D9" w:sz="4" w:space="0"/>
              <w:bottom w:val="single" w:color="9DB6D9" w:sz="4" w:space="0"/>
              <w:right w:val="single" w:color="9DB6D9" w:sz="4" w:space="0"/>
            </w:tcBorders>
            <w:shd w:val="clear" w:color="auto" w:fill="D6E4F5"/>
            <w:tcMar>
              <w:top w:w="120" w:type="dxa"/>
              <w:left w:w="140" w:type="dxa"/>
              <w:bottom w:w="120" w:type="dxa"/>
              <w:right w:w="140" w:type="dxa"/>
            </w:tcMar>
            <w:vAlign w:val="center"/>
          </w:tcPr>
          <w:p w14:paraId="3DC40515">
            <w:pPr>
              <w:spacing w:after="40"/>
              <w:jc w:val="center"/>
            </w:pPr>
            <w:r>
              <w:rPr>
                <w:b/>
                <w:bCs/>
                <w:color w:val="1F3864"/>
                <w:sz w:val="20"/>
                <w:szCs w:val="20"/>
              </w:rPr>
              <w:t>TRAIN</w:t>
            </w:r>
          </w:p>
          <w:p w14:paraId="21CCA66E">
            <w:pPr>
              <w:spacing w:after="40"/>
              <w:jc w:val="center"/>
            </w:pPr>
            <w:r>
              <w:rPr>
                <w:b/>
                <w:bCs/>
                <w:color w:val="1F3864"/>
                <w:sz w:val="20"/>
                <w:szCs w:val="20"/>
              </w:rPr>
              <w:t>older transactions — build the graph, train the model, pick the threshold</w:t>
            </w:r>
          </w:p>
        </w:tc>
        <w:tc>
          <w:tcPr>
            <w:tcW w:w="3008" w:type="dxa"/>
            <w:tcBorders>
              <w:top w:val="single" w:color="9DB6D9" w:sz="4" w:space="0"/>
              <w:left w:val="single" w:color="9DB6D9" w:sz="4" w:space="0"/>
              <w:bottom w:val="single" w:color="9DB6D9" w:sz="4" w:space="0"/>
              <w:right w:val="single" w:color="9DB6D9" w:sz="4" w:space="0"/>
            </w:tcBorders>
            <w:shd w:val="clear" w:color="auto" w:fill="FCEFD0"/>
            <w:tcMar>
              <w:top w:w="120" w:type="dxa"/>
              <w:left w:w="140" w:type="dxa"/>
              <w:bottom w:w="120" w:type="dxa"/>
              <w:right w:w="140" w:type="dxa"/>
            </w:tcMar>
            <w:vAlign w:val="center"/>
          </w:tcPr>
          <w:p w14:paraId="2978DE9F">
            <w:pPr>
              <w:spacing w:after="40"/>
              <w:jc w:val="center"/>
            </w:pPr>
            <w:r>
              <w:rPr>
                <w:b/>
                <w:bCs/>
                <w:color w:val="1F3864"/>
                <w:sz w:val="20"/>
                <w:szCs w:val="20"/>
              </w:rPr>
              <w:t>TEST</w:t>
            </w:r>
          </w:p>
          <w:p w14:paraId="49E346BA">
            <w:pPr>
              <w:spacing w:after="40"/>
              <w:jc w:val="center"/>
            </w:pPr>
            <w:r>
              <w:rPr>
                <w:b/>
                <w:bCs/>
                <w:color w:val="1F3864"/>
                <w:sz w:val="20"/>
                <w:szCs w:val="20"/>
              </w:rPr>
              <w:t>newer transactions — never seen by the model</w:t>
            </w:r>
          </w:p>
        </w:tc>
      </w:tr>
    </w:tbl>
    <w:p w14:paraId="26B39875">
      <w:pPr>
        <w:spacing w:after="200"/>
      </w:pPr>
    </w:p>
    <w:p w14:paraId="2BFD0247">
      <w:pPr>
        <w:spacing w:after="160"/>
      </w:pPr>
      <w:r>
        <w:rPr>
          <w:b/>
          <w:bCs/>
        </w:rPr>
        <w:t>Rule: the graph used for training is built only from training-period data. Test-period accounts are scored by the already-trained model — the graph is never rebuilt with test data.</w:t>
      </w:r>
    </w:p>
    <w:p w14:paraId="5457EFDA">
      <w:pPr>
        <w:spacing w:after="160"/>
      </w:pPr>
      <w:r>
        <w:t>Why this matters: a random train/test split would let the model “see the future” through shared graph edges that span both periods, making results look artificially good. A time-based split avoids that leak and reflects how the system would actually behave in production.</w:t>
      </w:r>
    </w:p>
    <w:p w14:paraId="78CF9FE7">
      <w:pPr>
        <w:spacing w:after="160"/>
      </w:pPr>
      <w:r>
        <w:t>Metrics reported: Precision, Recall, F1-score, a full Precision–Recall curve, and a confusion matrix with real counts (not just percentages) — because fraud is a small minority class and percentages alone can be misleading.</w:t>
      </w:r>
    </w:p>
    <w:p w14:paraId="7F800950">
      <w:pPr>
        <w:spacing w:before="200" w:after="100"/>
      </w:pPr>
      <w:r>
        <w:rPr>
          <w:b/>
          <w:bCs/>
          <w:color w:val="2E5C99"/>
          <w:sz w:val="24"/>
          <w:szCs w:val="24"/>
        </w:rPr>
        <w:t>6.1 Actual Train / Test Split</w:t>
      </w:r>
    </w:p>
    <w:p w14:paraId="283131C4">
      <w:pPr>
        <w:pStyle w:val="17"/>
        <w:numPr>
          <w:ilvl w:val="0"/>
          <w:numId w:val="1"/>
        </w:numPr>
        <w:spacing w:after="80"/>
      </w:pPr>
      <w:r>
        <w:t>Transactions ordered strictly by purchase_time; the earliest 80% (120,890 transactions, Day 1–Day 45) form the training set, the remaining 20% (30,222 transactions, Day 46–Day 56) form the held-out test set.</w:t>
      </w:r>
    </w:p>
    <w:p w14:paraId="2AA321A6">
      <w:pPr>
        <w:pStyle w:val="17"/>
        <w:numPr>
          <w:ilvl w:val="0"/>
          <w:numId w:val="1"/>
        </w:numPr>
        <w:spacing w:after="80"/>
      </w:pPr>
      <w:r>
        <w:t>Test set fraud prevalence: 4.60% (1,389 positive fraud cases out of 30,222 transactions).</w:t>
      </w:r>
    </w:p>
    <w:p w14:paraId="7508E170">
      <w:pPr>
        <w:pStyle w:val="17"/>
        <w:numPr>
          <w:ilvl w:val="0"/>
          <w:numId w:val="1"/>
        </w:numPr>
        <w:spacing w:after="80"/>
      </w:pPr>
      <w:r>
        <w:t>Graph construction leakage guard: shared-attribute graph edges and Louvain communities are computed strictly on historical training data (purchase_time ≤ split_time) — test-set nodes never inform graph partitioning or cluster formation.</w:t>
      </w:r>
    </w:p>
    <w:p w14:paraId="74468C1A">
      <w:pPr>
        <w:pStyle w:val="17"/>
        <w:numPr>
          <w:ilvl w:val="0"/>
          <w:numId w:val="1"/>
        </w:numPr>
        <w:spacing w:after="80"/>
      </w:pPr>
      <w:r>
        <w:t>Leave-one-out target safeguard: cluster_fraud_rate excludes each account's own label during calculation, so singleton or small clusters cannot echo the target label back as a feature.</w:t>
      </w:r>
    </w:p>
    <w:p w14:paraId="2A6549D5">
      <w:pPr>
        <w:spacing w:before="200" w:after="100"/>
      </w:pPr>
      <w:r>
        <w:rPr>
          <w:b/>
          <w:bCs/>
          <w:color w:val="2E5C99"/>
          <w:sz w:val="24"/>
          <w:szCs w:val="24"/>
        </w:rPr>
        <w:t>6.2 Metrics Scorecard</w:t>
      </w:r>
    </w:p>
    <w:p w14:paraId="62A06F1E">
      <w:pPr>
        <w:spacing w:after="160"/>
      </w:pPr>
      <w:r>
        <w:rPr>
          <w:i/>
          <w:iCs/>
        </w:rPr>
        <w:t>Results on the held-out, time-based test set described above.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426"/>
        <w:gridCol w:w="2000"/>
      </w:tblGrid>
      <w:tr w14:paraId="53B0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01625D10">
            <w:r>
              <w:rPr>
                <w:b/>
                <w:bCs/>
                <w:color w:val="FFFFFF"/>
                <w:sz w:val="20"/>
                <w:szCs w:val="20"/>
              </w:rPr>
              <w:t>Metric</w:t>
            </w:r>
          </w:p>
        </w:tc>
        <w:tc>
          <w:tcPr>
            <w:tcW w:w="4426"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10074027">
            <w:r>
              <w:rPr>
                <w:b/>
                <w:bCs/>
                <w:color w:val="FFFFFF"/>
                <w:sz w:val="20"/>
                <w:szCs w:val="20"/>
              </w:rPr>
              <w:t>What It Tells You</w:t>
            </w:r>
          </w:p>
        </w:tc>
        <w:tc>
          <w:tcPr>
            <w:tcW w:w="20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67E3FB2F">
            <w:r>
              <w:rPr>
                <w:b/>
                <w:bCs/>
                <w:color w:val="FFFFFF"/>
                <w:sz w:val="20"/>
                <w:szCs w:val="20"/>
              </w:rPr>
              <w:t>Value</w:t>
            </w:r>
          </w:p>
        </w:tc>
      </w:tr>
      <w:tr w14:paraId="010B2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46427EFB">
            <w:r>
              <w:rPr>
                <w:sz w:val="20"/>
                <w:szCs w:val="20"/>
              </w:rPr>
              <w:t>Precision (at t = 0.26)</w:t>
            </w:r>
          </w:p>
        </w:tc>
        <w:tc>
          <w:tcPr>
            <w:tcW w:w="4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197A96C9">
            <w:r>
              <w:rPr>
                <w:sz w:val="20"/>
                <w:szCs w:val="20"/>
              </w:rPr>
              <w:t>Of all accounts flagged, how many were actually fraudulent</w:t>
            </w:r>
          </w:p>
        </w:tc>
        <w:tc>
          <w:tcPr>
            <w:tcW w:w="20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56046B32">
            <w:r>
              <w:rPr>
                <w:sz w:val="20"/>
                <w:szCs w:val="20"/>
              </w:rPr>
              <w:t>17.13%</w:t>
            </w:r>
          </w:p>
        </w:tc>
      </w:tr>
      <w:tr w14:paraId="5CB59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328B537F">
            <w:r>
              <w:rPr>
                <w:sz w:val="20"/>
                <w:szCs w:val="20"/>
              </w:rPr>
              <w:t>Recall (at t = 0.26)</w:t>
            </w:r>
          </w:p>
        </w:tc>
        <w:tc>
          <w:tcPr>
            <w:tcW w:w="44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0CCE9E92">
            <w:r>
              <w:rPr>
                <w:sz w:val="20"/>
                <w:szCs w:val="20"/>
              </w:rPr>
              <w:t>Of all actual fraud cases, how many were correctly flagged</w:t>
            </w:r>
          </w:p>
        </w:tc>
        <w:tc>
          <w:tcPr>
            <w:tcW w:w="20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077A2894">
            <w:r>
              <w:rPr>
                <w:sz w:val="20"/>
                <w:szCs w:val="20"/>
              </w:rPr>
              <w:t>41.11%</w:t>
            </w:r>
          </w:p>
        </w:tc>
      </w:tr>
      <w:tr w14:paraId="651D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2534EAFF">
            <w:r>
              <w:rPr>
                <w:sz w:val="20"/>
                <w:szCs w:val="20"/>
              </w:rPr>
              <w:t>F1-score (at t = 0.26)</w:t>
            </w:r>
          </w:p>
        </w:tc>
        <w:tc>
          <w:tcPr>
            <w:tcW w:w="4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2292C1F3">
            <w:r>
              <w:rPr>
                <w:sz w:val="20"/>
                <w:szCs w:val="20"/>
              </w:rPr>
              <w:t>Harmonic balance of precision and recall (peak F1 at t = 0.50 is 0.2867)</w:t>
            </w:r>
          </w:p>
        </w:tc>
        <w:tc>
          <w:tcPr>
            <w:tcW w:w="20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016CFA21">
            <w:r>
              <w:rPr>
                <w:sz w:val="20"/>
                <w:szCs w:val="20"/>
              </w:rPr>
              <w:t>0.2418</w:t>
            </w:r>
          </w:p>
        </w:tc>
      </w:tr>
      <w:tr w14:paraId="37E85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7C0136DB">
            <w:r>
              <w:rPr>
                <w:sz w:val="20"/>
                <w:szCs w:val="20"/>
              </w:rPr>
              <w:t>PR-AUC</w:t>
            </w:r>
          </w:p>
        </w:tc>
        <w:tc>
          <w:tcPr>
            <w:tcW w:w="44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3D85A1CC">
            <w:r>
              <w:rPr>
                <w:sz w:val="20"/>
                <w:szCs w:val="20"/>
              </w:rPr>
              <w:t>Area under the Precision–Recall curve — preferred over ROC-AUC for imbalanced fraud data; &gt;3.3× uplift over the 4.60% random baseline</w:t>
            </w:r>
          </w:p>
        </w:tc>
        <w:tc>
          <w:tcPr>
            <w:tcW w:w="20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5ACC1949">
            <w:r>
              <w:rPr>
                <w:sz w:val="20"/>
                <w:szCs w:val="20"/>
              </w:rPr>
              <w:t>0.1536</w:t>
            </w:r>
          </w:p>
        </w:tc>
      </w:tr>
      <w:tr w14:paraId="519F4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55D72F1A">
            <w:r>
              <w:rPr>
                <w:sz w:val="20"/>
                <w:szCs w:val="20"/>
              </w:rPr>
              <w:t>ROC-AUC</w:t>
            </w:r>
          </w:p>
        </w:tc>
        <w:tc>
          <w:tcPr>
            <w:tcW w:w="4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72676401">
            <w:r>
              <w:rPr>
                <w:sz w:val="20"/>
                <w:szCs w:val="20"/>
              </w:rPr>
              <w:t>Overall ability to separate fraud vs. non-fraud accounts across all thresholds</w:t>
            </w:r>
          </w:p>
        </w:tc>
        <w:tc>
          <w:tcPr>
            <w:tcW w:w="20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5C165028">
            <w:r>
              <w:rPr>
                <w:sz w:val="20"/>
                <w:szCs w:val="20"/>
              </w:rPr>
              <w:t>0.6635</w:t>
            </w:r>
          </w:p>
        </w:tc>
      </w:tr>
      <w:tr w14:paraId="08B60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35BF73FC">
            <w:r>
              <w:rPr>
                <w:sz w:val="20"/>
                <w:szCs w:val="20"/>
              </w:rPr>
              <w:t>True Positives (TP)</w:t>
            </w:r>
          </w:p>
        </w:tc>
        <w:tc>
          <w:tcPr>
            <w:tcW w:w="44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4FD44220">
            <w:r>
              <w:rPr>
                <w:sz w:val="20"/>
                <w:szCs w:val="20"/>
              </w:rPr>
              <w:t>Fraudulent transactions correctly flagged for reviewer action</w:t>
            </w:r>
          </w:p>
        </w:tc>
        <w:tc>
          <w:tcPr>
            <w:tcW w:w="20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038D222C">
            <w:r>
              <w:rPr>
                <w:sz w:val="20"/>
                <w:szCs w:val="20"/>
              </w:rPr>
              <w:t>571</w:t>
            </w:r>
          </w:p>
        </w:tc>
      </w:tr>
      <w:tr w14:paraId="1B379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0C09A10F">
            <w:r>
              <w:rPr>
                <w:sz w:val="20"/>
                <w:szCs w:val="20"/>
              </w:rPr>
              <w:t>False Positives (FP)</w:t>
            </w:r>
          </w:p>
        </w:tc>
        <w:tc>
          <w:tcPr>
            <w:tcW w:w="4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154EA184">
            <w:r>
              <w:rPr>
                <w:sz w:val="20"/>
                <w:szCs w:val="20"/>
              </w:rPr>
              <w:t>Legitimate transactions routed to manual triage</w:t>
            </w:r>
          </w:p>
        </w:tc>
        <w:tc>
          <w:tcPr>
            <w:tcW w:w="20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60CFCD26">
            <w:r>
              <w:rPr>
                <w:sz w:val="20"/>
                <w:szCs w:val="20"/>
              </w:rPr>
              <w:t>2,762</w:t>
            </w:r>
          </w:p>
        </w:tc>
      </w:tr>
      <w:tr w14:paraId="2A00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1AA472B9">
            <w:r>
              <w:rPr>
                <w:sz w:val="20"/>
                <w:szCs w:val="20"/>
              </w:rPr>
              <w:t>False Negatives (FN)</w:t>
            </w:r>
          </w:p>
        </w:tc>
        <w:tc>
          <w:tcPr>
            <w:tcW w:w="44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0B4A59E3">
            <w:r>
              <w:rPr>
                <w:sz w:val="20"/>
                <w:szCs w:val="20"/>
              </w:rPr>
              <w:t>Fraud cases that passed through unflagged</w:t>
            </w:r>
          </w:p>
        </w:tc>
        <w:tc>
          <w:tcPr>
            <w:tcW w:w="20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58D8641B">
            <w:r>
              <w:rPr>
                <w:sz w:val="20"/>
                <w:szCs w:val="20"/>
              </w:rPr>
              <w:t>818</w:t>
            </w:r>
          </w:p>
        </w:tc>
      </w:tr>
      <w:tr w14:paraId="18C11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2364C18D">
            <w:r>
              <w:rPr>
                <w:sz w:val="20"/>
                <w:szCs w:val="20"/>
              </w:rPr>
              <w:t>True Negatives (TN)</w:t>
            </w:r>
          </w:p>
        </w:tc>
        <w:tc>
          <w:tcPr>
            <w:tcW w:w="4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114EBBCA">
            <w:r>
              <w:rPr>
                <w:sz w:val="20"/>
                <w:szCs w:val="20"/>
              </w:rPr>
              <w:t>Legitimate transactions correctly passed without friction</w:t>
            </w:r>
          </w:p>
        </w:tc>
        <w:tc>
          <w:tcPr>
            <w:tcW w:w="20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187A2153">
            <w:r>
              <w:rPr>
                <w:sz w:val="20"/>
                <w:szCs w:val="20"/>
              </w:rPr>
              <w:t>26,071</w:t>
            </w:r>
          </w:p>
        </w:tc>
      </w:tr>
      <w:tr w14:paraId="4B96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02F17858">
            <w:r>
              <w:rPr>
                <w:sz w:val="20"/>
                <w:szCs w:val="20"/>
              </w:rPr>
              <w:t>Chosen threshold (t)</w:t>
            </w:r>
          </w:p>
        </w:tc>
        <w:tc>
          <w:tcPr>
            <w:tcW w:w="44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7D93179E">
            <w:r>
              <w:rPr>
                <w:sz w:val="20"/>
                <w:szCs w:val="20"/>
              </w:rPr>
              <w:t>Cost-minimizing cutoff selected via scripts/cost_curve.py, not the default 0.50 or the pure-F1 peak</w:t>
            </w:r>
          </w:p>
        </w:tc>
        <w:tc>
          <w:tcPr>
            <w:tcW w:w="20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7791D513">
            <w:r>
              <w:rPr>
                <w:sz w:val="20"/>
                <w:szCs w:val="20"/>
              </w:rPr>
              <w:t>0.26</w:t>
            </w:r>
          </w:p>
        </w:tc>
      </w:tr>
    </w:tbl>
    <w:p w14:paraId="244CAAD6">
      <w:pPr>
        <w:spacing w:after="160"/>
      </w:pPr>
    </w:p>
    <w:p w14:paraId="3C570E71">
      <w:pPr>
        <w:pStyle w:val="2"/>
        <w:spacing w:before="320" w:after="160"/>
      </w:pPr>
      <w:r>
        <w:rPr>
          <w:b/>
          <w:bCs/>
          <w:color w:val="1F3864"/>
        </w:rPr>
        <w:t>7. False-Positive / False-Negative Cost Model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26"/>
      </w:tblGrid>
      <w:tr w14:paraId="02F5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674113CB">
            <w:r>
              <w:rPr>
                <w:b/>
                <w:bCs/>
                <w:color w:val="FFFFFF"/>
                <w:sz w:val="20"/>
                <w:szCs w:val="20"/>
              </w:rPr>
              <w:t>Event</w:t>
            </w:r>
          </w:p>
        </w:tc>
        <w:tc>
          <w:tcPr>
            <w:tcW w:w="5426"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6DE8C96C">
            <w:r>
              <w:rPr>
                <w:b/>
                <w:bCs/>
                <w:color w:val="FFFFFF"/>
                <w:sz w:val="20"/>
                <w:szCs w:val="20"/>
              </w:rPr>
              <w:t>Cost Formula</w:t>
            </w:r>
          </w:p>
        </w:tc>
      </w:tr>
      <w:tr w14:paraId="2613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649D43ED">
            <w:r>
              <w:rPr>
                <w:sz w:val="20"/>
                <w:szCs w:val="20"/>
              </w:rPr>
              <w:t>False Positive (routing a genuine account to manual triage)</w:t>
            </w:r>
          </w:p>
        </w:tc>
        <w:tc>
          <w:tcPr>
            <w:tcW w:w="5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53C204DE">
            <w:r>
              <w:rPr>
                <w:sz w:val="20"/>
                <w:szCs w:val="20"/>
              </w:rPr>
              <w:t>cost of investigator review time per flagged account</w:t>
            </w:r>
          </w:p>
        </w:tc>
      </w:tr>
      <w:tr w14:paraId="3AF19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2C58ADE8">
            <w:r>
              <w:rPr>
                <w:sz w:val="20"/>
                <w:szCs w:val="20"/>
              </w:rPr>
              <w:t>False Negative (missing a real fraud case)</w:t>
            </w:r>
          </w:p>
        </w:tc>
        <w:tc>
          <w:tcPr>
            <w:tcW w:w="54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5AE7F183">
            <w:r>
              <w:rPr>
                <w:sz w:val="20"/>
                <w:szCs w:val="20"/>
              </w:rPr>
              <w:t>fraud amount lost + chargeback/dispute handling cost</w:t>
            </w:r>
          </w:p>
        </w:tc>
      </w:tr>
    </w:tbl>
    <w:p w14:paraId="00B08537">
      <w:pPr>
        <w:spacing w:after="160"/>
      </w:pPr>
    </w:p>
    <w:p w14:paraId="6E5D3176">
      <w:pPr>
        <w:spacing w:after="160"/>
      </w:pPr>
      <w:r>
        <w:t>The decision threshold is chosen to minimize total expected cost, not simply to maximize F1-score. This reflects a well-documented industry finding: false positives in fraud detection frequently cost businesses more than the fraud itself, because wrongly-blocked customers reduce usage or leave permanently [12] [13] [15].</w:t>
      </w:r>
    </w:p>
    <w:p w14:paraId="2128556F">
      <w:pPr>
        <w:spacing w:before="200" w:after="100"/>
      </w:pPr>
      <w:r>
        <w:rPr>
          <w:b/>
          <w:bCs/>
          <w:color w:val="2E5C99"/>
          <w:sz w:val="24"/>
          <w:szCs w:val="24"/>
        </w:rPr>
        <w:t>7.1 Financial Impact at the Chosen Threshold (t = 0.26)</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426"/>
        <w:gridCol w:w="1800"/>
      </w:tblGrid>
      <w:tr w14:paraId="7636B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6D2A217C">
            <w:r>
              <w:rPr>
                <w:b/>
                <w:bCs/>
                <w:color w:val="FFFFFF"/>
                <w:sz w:val="20"/>
                <w:szCs w:val="20"/>
              </w:rPr>
              <w:t>Line Item</w:t>
            </w:r>
          </w:p>
        </w:tc>
        <w:tc>
          <w:tcPr>
            <w:tcW w:w="4426"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0CD74E2E">
            <w:r>
              <w:rPr>
                <w:b/>
                <w:bCs/>
                <w:color w:val="FFFFFF"/>
                <w:sz w:val="20"/>
                <w:szCs w:val="20"/>
              </w:rPr>
              <w:t>Assumption / Value</w:t>
            </w:r>
          </w:p>
        </w:tc>
        <w:tc>
          <w:tcPr>
            <w:tcW w:w="18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0A0E7DC5">
            <w:r>
              <w:rPr>
                <w:b/>
                <w:bCs/>
                <w:color w:val="FFFFFF"/>
                <w:sz w:val="20"/>
                <w:szCs w:val="20"/>
              </w:rPr>
              <w:t>Total</w:t>
            </w:r>
          </w:p>
        </w:tc>
      </w:tr>
      <w:tr w14:paraId="0D22F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0E5D60D4">
            <w:r>
              <w:rPr>
                <w:sz w:val="20"/>
                <w:szCs w:val="20"/>
              </w:rPr>
              <w:t>FP unit cost</w:t>
            </w:r>
          </w:p>
        </w:tc>
        <w:tc>
          <w:tcPr>
            <w:tcW w:w="4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4341119F">
            <w:r>
              <w:rPr>
                <w:sz w:val="20"/>
                <w:szCs w:val="20"/>
              </w:rPr>
              <w:t>$2.00 per manual review</w:t>
            </w:r>
          </w:p>
        </w:tc>
        <w:tc>
          <w:tcPr>
            <w:tcW w:w="18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07B3F987">
            <w:r>
              <w:rPr>
                <w:sz w:val="20"/>
                <w:szCs w:val="20"/>
              </w:rPr>
              <w:t>—</w:t>
            </w:r>
          </w:p>
        </w:tc>
      </w:tr>
      <w:tr w14:paraId="4BD85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7A5BC82E">
            <w:r>
              <w:rPr>
                <w:sz w:val="20"/>
                <w:szCs w:val="20"/>
              </w:rPr>
              <w:t>FN unit cost</w:t>
            </w:r>
          </w:p>
        </w:tc>
        <w:tc>
          <w:tcPr>
            <w:tcW w:w="44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6929F03B">
            <w:r>
              <w:rPr>
                <w:sz w:val="20"/>
                <w:szCs w:val="20"/>
              </w:rPr>
              <w:t>$37.00 avg. fraud value + $15.00 chargeback fee = $52.00 per case</w:t>
            </w:r>
          </w:p>
        </w:tc>
        <w:tc>
          <w:tcPr>
            <w:tcW w:w="18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6BC8FB15">
            <w:r>
              <w:rPr>
                <w:sz w:val="20"/>
                <w:szCs w:val="20"/>
              </w:rPr>
              <w:t>—</w:t>
            </w:r>
          </w:p>
        </w:tc>
      </w:tr>
      <w:tr w14:paraId="60023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46F2669D">
            <w:r>
              <w:rPr>
                <w:sz w:val="20"/>
                <w:szCs w:val="20"/>
              </w:rPr>
              <w:t>FP triage cost</w:t>
            </w:r>
          </w:p>
        </w:tc>
        <w:tc>
          <w:tcPr>
            <w:tcW w:w="4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4F3B9621">
            <w:r>
              <w:rPr>
                <w:sz w:val="20"/>
                <w:szCs w:val="20"/>
              </w:rPr>
              <w:t>2,762 false positives × $2.00</w:t>
            </w:r>
          </w:p>
        </w:tc>
        <w:tc>
          <w:tcPr>
            <w:tcW w:w="18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7FF0ABC8">
            <w:r>
              <w:rPr>
                <w:sz w:val="20"/>
                <w:szCs w:val="20"/>
              </w:rPr>
              <w:t>$5,524.00</w:t>
            </w:r>
          </w:p>
        </w:tc>
      </w:tr>
      <w:tr w14:paraId="6C90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61A857C3">
            <w:r>
              <w:rPr>
                <w:sz w:val="20"/>
                <w:szCs w:val="20"/>
              </w:rPr>
              <w:t>FN loss cost</w:t>
            </w:r>
          </w:p>
        </w:tc>
        <w:tc>
          <w:tcPr>
            <w:tcW w:w="44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29A57148">
            <w:r>
              <w:rPr>
                <w:sz w:val="20"/>
                <w:szCs w:val="20"/>
              </w:rPr>
              <w:t>818 missed fraud cases × $52.00</w:t>
            </w:r>
          </w:p>
        </w:tc>
        <w:tc>
          <w:tcPr>
            <w:tcW w:w="18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48FED00F">
            <w:pPr>
              <w:rPr>
                <w:rFonts w:hint="default" w:ascii="Times New Roman" w:hAnsi="Times New Roman" w:cs="Times New Roman"/>
                <w:sz w:val="20"/>
                <w:szCs w:val="20"/>
              </w:rPr>
            </w:pPr>
            <w:r>
              <w:rPr>
                <w:rFonts w:hint="default" w:ascii="Times New Roman" w:hAnsi="Times New Roman" w:eastAsia="SimSun" w:cs="Times New Roman"/>
                <w:sz w:val="20"/>
                <w:szCs w:val="20"/>
              </w:rPr>
              <w:t>$42,536.00</w:t>
            </w:r>
          </w:p>
        </w:tc>
      </w:tr>
      <w:tr w14:paraId="0BF8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2D533E1B">
            <w:r>
              <w:rPr>
                <w:sz w:val="20"/>
                <w:szCs w:val="20"/>
              </w:rPr>
              <w:t>Model total cost</w:t>
            </w:r>
          </w:p>
        </w:tc>
        <w:tc>
          <w:tcPr>
            <w:tcW w:w="4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26021BC4">
            <w:r>
              <w:rPr>
                <w:sz w:val="20"/>
                <w:szCs w:val="20"/>
              </w:rPr>
              <w:t>FP triage cost + FN loss cost</w:t>
            </w:r>
          </w:p>
        </w:tc>
        <w:tc>
          <w:tcPr>
            <w:tcW w:w="18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4A33F88B">
            <w:pPr>
              <w:rPr>
                <w:rFonts w:hint="default" w:ascii="Times New Roman" w:hAnsi="Times New Roman" w:cs="Times New Roman"/>
                <w:sz w:val="20"/>
                <w:szCs w:val="20"/>
              </w:rPr>
            </w:pPr>
            <w:r>
              <w:rPr>
                <w:rFonts w:hint="default" w:ascii="Times New Roman" w:hAnsi="Times New Roman" w:eastAsia="SimSun" w:cs="Times New Roman"/>
                <w:sz w:val="20"/>
                <w:szCs w:val="20"/>
              </w:rPr>
              <w:t>$48,060.00</w:t>
            </w:r>
          </w:p>
        </w:tc>
      </w:tr>
      <w:tr w14:paraId="57C71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12AB7D54">
            <w:r>
              <w:rPr>
                <w:sz w:val="20"/>
                <w:szCs w:val="20"/>
              </w:rPr>
              <w:t>No-model baseline cost</w:t>
            </w:r>
          </w:p>
        </w:tc>
        <w:tc>
          <w:tcPr>
            <w:tcW w:w="44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1DEE3CE2">
            <w:r>
              <w:rPr>
                <w:sz w:val="20"/>
                <w:szCs w:val="20"/>
              </w:rPr>
              <w:t>1,389 total fraud cases × $52.00 (nothing caught)</w:t>
            </w:r>
          </w:p>
        </w:tc>
        <w:tc>
          <w:tcPr>
            <w:tcW w:w="18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2C9CC03D">
            <w:pPr>
              <w:rPr>
                <w:rFonts w:hint="default" w:ascii="Times New Roman" w:hAnsi="Times New Roman" w:cs="Times New Roman"/>
                <w:sz w:val="20"/>
                <w:szCs w:val="20"/>
              </w:rPr>
            </w:pPr>
            <w:r>
              <w:rPr>
                <w:rFonts w:hint="default" w:ascii="Times New Roman" w:hAnsi="Times New Roman" w:cs="Times New Roman"/>
                <w:sz w:val="20"/>
                <w:szCs w:val="20"/>
              </w:rPr>
              <w:t>$72,228.00</w:t>
            </w:r>
          </w:p>
        </w:tc>
      </w:tr>
      <w:tr w14:paraId="4518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31842F19">
            <w:r>
              <w:rPr>
                <w:sz w:val="20"/>
                <w:szCs w:val="20"/>
              </w:rPr>
              <w:t>Net savings vs. baseline</w:t>
            </w:r>
          </w:p>
        </w:tc>
        <w:tc>
          <w:tcPr>
            <w:tcW w:w="44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3464FE8D">
            <w:r>
              <w:rPr>
                <w:sz w:val="20"/>
                <w:szCs w:val="20"/>
              </w:rPr>
              <w:t>Baseline cost − model total cost</w:t>
            </w:r>
          </w:p>
        </w:tc>
        <w:tc>
          <w:tcPr>
            <w:tcW w:w="18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67582AFD">
            <w:pPr>
              <w:rPr>
                <w:rFonts w:hint="default" w:ascii="Times New Roman" w:hAnsi="Times New Roman" w:cs="Times New Roman"/>
                <w:sz w:val="20"/>
                <w:szCs w:val="20"/>
              </w:rPr>
            </w:pPr>
            <w:r>
              <w:rPr>
                <w:rFonts w:hint="default" w:ascii="Times New Roman" w:hAnsi="Times New Roman" w:cs="Times New Roman"/>
                <w:sz w:val="20"/>
                <w:szCs w:val="20"/>
              </w:rPr>
              <w:t>$24,16</w:t>
            </w:r>
            <w:r>
              <w:rPr>
                <w:rFonts w:hint="default" w:ascii="Times New Roman" w:hAnsi="Times New Roman" w:cs="Times New Roman"/>
                <w:sz w:val="20"/>
                <w:szCs w:val="20"/>
                <w:lang w:val="en-IN"/>
              </w:rPr>
              <w:t>8</w:t>
            </w:r>
            <w:r>
              <w:rPr>
                <w:rFonts w:hint="default" w:ascii="Times New Roman" w:hAnsi="Times New Roman" w:cs="Times New Roman"/>
                <w:sz w:val="20"/>
                <w:szCs w:val="20"/>
              </w:rPr>
              <w:t>.</w:t>
            </w:r>
            <w:r>
              <w:rPr>
                <w:rFonts w:hint="default" w:ascii="Times New Roman" w:hAnsi="Times New Roman" w:cs="Times New Roman"/>
                <w:sz w:val="20"/>
                <w:szCs w:val="20"/>
                <w:lang w:val="en-IN"/>
              </w:rPr>
              <w:t>00</w:t>
            </w:r>
            <w:r>
              <w:rPr>
                <w:rFonts w:hint="default" w:ascii="Times New Roman" w:hAnsi="Times New Roman" w:cs="Times New Roman"/>
                <w:sz w:val="20"/>
                <w:szCs w:val="20"/>
              </w:rPr>
              <w:t xml:space="preserve"> (33.46% reduction)</w:t>
            </w:r>
          </w:p>
        </w:tc>
      </w:tr>
    </w:tbl>
    <w:p w14:paraId="56B987B3">
      <w:pPr>
        <w:spacing w:after="160"/>
      </w:pPr>
    </w:p>
    <w:p w14:paraId="54466A3B">
      <w:pPr>
        <w:spacing w:after="160"/>
      </w:pPr>
      <w:r>
        <w:rPr>
          <w:i/>
          <w:iCs/>
          <w:sz w:val="20"/>
          <w:szCs w:val="20"/>
        </w:rPr>
        <w:t>These figures use illustrative per-unit cost assumptions ($2.00/review, $52.00/missed case) so the cost-optimization mechanism can be demonstrated end-to-end; a production deployment would recalibrate these against Razorpay's actual investigator cost and average fraud/chargeback values.</w:t>
      </w:r>
    </w:p>
    <w:p w14:paraId="23BBDA23">
      <w:pPr>
        <w:pStyle w:val="2"/>
        <w:spacing w:before="320" w:after="160"/>
      </w:pPr>
      <w:r>
        <w:rPr>
          <w:b/>
          <w:bCs/>
          <w:color w:val="1F3864"/>
        </w:rPr>
        <w:t>8. Explainability</w:t>
      </w:r>
    </w:p>
    <w:p w14:paraId="3DF6401A">
      <w:pPr>
        <w:spacing w:after="160"/>
      </w:pPr>
      <w:r>
        <w:t>Every flagged account gets a short, human-readable reason, generated with SHAP (SHapley Additive exPlanations):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217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5C99" w:sz="6" w:space="0"/>
              <w:left w:val="single" w:color="2E5C99" w:sz="6" w:space="0"/>
              <w:bottom w:val="single" w:color="2E5C99" w:sz="6" w:space="0"/>
              <w:right w:val="single" w:color="2E5C99" w:sz="6" w:space="0"/>
            </w:tcBorders>
            <w:shd w:val="clear" w:color="auto" w:fill="EAF1FB"/>
            <w:tcMar>
              <w:top w:w="160" w:type="dxa"/>
              <w:left w:w="200" w:type="dxa"/>
              <w:bottom w:w="160" w:type="dxa"/>
              <w:right w:w="200" w:type="dxa"/>
            </w:tcMar>
          </w:tcPr>
          <w:p w14:paraId="78E607B9">
            <w:pPr>
              <w:jc w:val="center"/>
            </w:pPr>
            <w:r>
              <w:rPr>
                <w:i/>
                <w:iCs/>
                <w:color w:val="1F3864"/>
                <w:sz w:val="22"/>
                <w:szCs w:val="22"/>
              </w:rPr>
              <w:t>“Flagged because: shared device with 6 other accounts, cluster fraud rate is high, account is newly created.”</w:t>
            </w:r>
          </w:p>
        </w:tc>
      </w:tr>
    </w:tbl>
    <w:p w14:paraId="37860AA1">
      <w:pPr>
        <w:spacing w:after="160"/>
      </w:pPr>
    </w:p>
    <w:p w14:paraId="333E69D2">
      <w:pPr>
        <w:spacing w:after="160"/>
      </w:pPr>
      <w:r>
        <w:t>This matters because financial risk systems are expected to be explainable, not just accurate — a reviewer or regulator needs to know why an account was flagged, not only that it was.</w:t>
      </w:r>
    </w:p>
    <w:p w14:paraId="09FE765B">
      <w:pPr>
        <w:spacing w:before="200" w:after="100"/>
      </w:pPr>
      <w:r>
        <w:rPr>
          <w:b/>
          <w:bCs/>
          <w:color w:val="2E5C99"/>
          <w:sz w:val="24"/>
          <w:szCs w:val="24"/>
        </w:rPr>
        <w:t>8.1 Top 5 SHAP Features by Mean Absolute Importance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1800"/>
        <w:gridCol w:w="3726"/>
      </w:tblGrid>
      <w:tr w14:paraId="02FA0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522719DC">
            <w:r>
              <w:rPr>
                <w:b/>
                <w:bCs/>
                <w:color w:val="FFFFFF"/>
                <w:sz w:val="20"/>
                <w:szCs w:val="20"/>
              </w:rPr>
              <w:t>Rank</w:t>
            </w:r>
          </w:p>
        </w:tc>
        <w:tc>
          <w:tcPr>
            <w:tcW w:w="26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3B8E1992">
            <w:r>
              <w:rPr>
                <w:b/>
                <w:bCs/>
                <w:color w:val="FFFFFF"/>
                <w:sz w:val="20"/>
                <w:szCs w:val="20"/>
              </w:rPr>
              <w:t>Feature</w:t>
            </w:r>
          </w:p>
        </w:tc>
        <w:tc>
          <w:tcPr>
            <w:tcW w:w="18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66A98AA6">
            <w:r>
              <w:rPr>
                <w:b/>
                <w:bCs/>
                <w:color w:val="FFFFFF"/>
                <w:sz w:val="20"/>
                <w:szCs w:val="20"/>
              </w:rPr>
              <w:t>SHAP Importance</w:t>
            </w:r>
          </w:p>
        </w:tc>
        <w:tc>
          <w:tcPr>
            <w:tcW w:w="3726"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55F0BF13">
            <w:r>
              <w:rPr>
                <w:b/>
                <w:bCs/>
                <w:color w:val="FFFFFF"/>
                <w:sz w:val="20"/>
                <w:szCs w:val="20"/>
              </w:rPr>
              <w:t>Type &amp; Description</w:t>
            </w:r>
          </w:p>
        </w:tc>
      </w:tr>
      <w:tr w14:paraId="76AA3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42F8A5EB">
            <w:r>
              <w:rPr>
                <w:sz w:val="20"/>
                <w:szCs w:val="20"/>
              </w:rPr>
              <w:t>1</w:t>
            </w:r>
          </w:p>
        </w:tc>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2CA43A2D">
            <w:r>
              <w:rPr>
                <w:sz w:val="20"/>
                <w:szCs w:val="20"/>
              </w:rPr>
              <w:t>cluster_size</w:t>
            </w:r>
          </w:p>
        </w:tc>
        <w:tc>
          <w:tcPr>
            <w:tcW w:w="18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235A5CFE">
            <w:r>
              <w:rPr>
                <w:sz w:val="20"/>
                <w:szCs w:val="20"/>
              </w:rPr>
              <w:t>0.8499</w:t>
            </w:r>
          </w:p>
        </w:tc>
        <w:tc>
          <w:tcPr>
            <w:tcW w:w="37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659DF5EE">
            <w:r>
              <w:rPr>
                <w:sz w:val="20"/>
                <w:szCs w:val="20"/>
              </w:rPr>
              <w:t>Graph — Louvain community member count linked via shared IP/device</w:t>
            </w:r>
          </w:p>
        </w:tc>
      </w:tr>
      <w:tr w14:paraId="030A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78F0FE4D">
            <w:r>
              <w:rPr>
                <w:sz w:val="20"/>
                <w:szCs w:val="20"/>
              </w:rPr>
              <w:t>2</w:t>
            </w:r>
          </w:p>
        </w:tc>
        <w:tc>
          <w:tcPr>
            <w:tcW w:w="26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4646F58A">
            <w:r>
              <w:rPr>
                <w:sz w:val="20"/>
                <w:szCs w:val="20"/>
              </w:rPr>
              <w:t>time_since_signup_hours</w:t>
            </w:r>
          </w:p>
        </w:tc>
        <w:tc>
          <w:tcPr>
            <w:tcW w:w="18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1F5461EF">
            <w:r>
              <w:rPr>
                <w:sz w:val="20"/>
                <w:szCs w:val="20"/>
              </w:rPr>
              <w:t>0.2344</w:t>
            </w:r>
          </w:p>
        </w:tc>
        <w:tc>
          <w:tcPr>
            <w:tcW w:w="37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0C96E3F2">
            <w:r>
              <w:rPr>
                <w:sz w:val="20"/>
                <w:szCs w:val="20"/>
              </w:rPr>
              <w:t>Tabular — hours between account creation and transaction time</w:t>
            </w:r>
          </w:p>
        </w:tc>
      </w:tr>
      <w:tr w14:paraId="2949F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2F68E95B">
            <w:r>
              <w:rPr>
                <w:sz w:val="20"/>
                <w:szCs w:val="20"/>
              </w:rPr>
              <w:t>3</w:t>
            </w:r>
          </w:p>
        </w:tc>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67362DFC">
            <w:r>
              <w:rPr>
                <w:sz w:val="20"/>
                <w:szCs w:val="20"/>
              </w:rPr>
              <w:t>account_degree</w:t>
            </w:r>
          </w:p>
        </w:tc>
        <w:tc>
          <w:tcPr>
            <w:tcW w:w="18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71E7FAFC">
            <w:r>
              <w:rPr>
                <w:sz w:val="20"/>
                <w:szCs w:val="20"/>
              </w:rPr>
              <w:t>0.1848</w:t>
            </w:r>
          </w:p>
        </w:tc>
        <w:tc>
          <w:tcPr>
            <w:tcW w:w="37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14E2199B">
            <w:r>
              <w:rPr>
                <w:sz w:val="20"/>
                <w:szCs w:val="20"/>
              </w:rPr>
              <w:t>Graph — total shared-attribute edge connections to the node</w:t>
            </w:r>
          </w:p>
        </w:tc>
      </w:tr>
      <w:tr w14:paraId="7C604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624C7F47">
            <w:r>
              <w:rPr>
                <w:sz w:val="20"/>
                <w:szCs w:val="20"/>
              </w:rPr>
              <w:t>4</w:t>
            </w:r>
          </w:p>
        </w:tc>
        <w:tc>
          <w:tcPr>
            <w:tcW w:w="26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5C52DF8D">
            <w:r>
              <w:rPr>
                <w:sz w:val="20"/>
                <w:szCs w:val="20"/>
              </w:rPr>
              <w:t>cluster_fraud_rate</w:t>
            </w:r>
          </w:p>
        </w:tc>
        <w:tc>
          <w:tcPr>
            <w:tcW w:w="18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575847E7">
            <w:r>
              <w:rPr>
                <w:sz w:val="20"/>
                <w:szCs w:val="20"/>
              </w:rPr>
              <w:t>0.1023</w:t>
            </w:r>
          </w:p>
        </w:tc>
        <w:tc>
          <w:tcPr>
            <w:tcW w:w="37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14AE67AC">
            <w:r>
              <w:rPr>
                <w:sz w:val="20"/>
                <w:szCs w:val="20"/>
              </w:rPr>
              <w:t>Graph — leave-one-out historical fraud density within the cluster</w:t>
            </w:r>
          </w:p>
        </w:tc>
      </w:tr>
      <w:tr w14:paraId="141E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6A258734">
            <w:r>
              <w:rPr>
                <w:sz w:val="20"/>
                <w:szCs w:val="20"/>
              </w:rPr>
              <w:t>5</w:t>
            </w:r>
          </w:p>
        </w:tc>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1E9E70FC">
            <w:r>
              <w:rPr>
                <w:sz w:val="20"/>
                <w:szCs w:val="20"/>
              </w:rPr>
              <w:t>purchase_value</w:t>
            </w:r>
          </w:p>
        </w:tc>
        <w:tc>
          <w:tcPr>
            <w:tcW w:w="18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20557354">
            <w:r>
              <w:rPr>
                <w:sz w:val="20"/>
                <w:szCs w:val="20"/>
              </w:rPr>
              <w:t>0.0496</w:t>
            </w:r>
          </w:p>
        </w:tc>
        <w:tc>
          <w:tcPr>
            <w:tcW w:w="37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76932A56">
            <w:r>
              <w:rPr>
                <w:sz w:val="20"/>
                <w:szCs w:val="20"/>
              </w:rPr>
              <w:t>Tabular — dollar amount of the purchase transaction</w:t>
            </w:r>
          </w:p>
        </w:tc>
      </w:tr>
    </w:tbl>
    <w:p w14:paraId="312F80AF">
      <w:pPr>
        <w:spacing w:after="200"/>
      </w:pPr>
    </w:p>
    <w:p w14:paraId="21464B78">
      <w:pPr>
        <w:spacing w:before="200" w:after="100"/>
      </w:pPr>
      <w:r>
        <w:rPr>
          <w:b/>
          <w:bCs/>
          <w:color w:val="2E5C99"/>
          <w:sz w:val="24"/>
          <w:szCs w:val="24"/>
        </w:rPr>
        <w:t>8.2 Case Study — A Worked Example</w:t>
      </w:r>
    </w:p>
    <w:p w14:paraId="3AF0A806">
      <w:pPr>
        <w:spacing w:after="160"/>
      </w:pPr>
      <w:r>
        <w:rPr>
          <w:b/>
          <w:bCs/>
        </w:rPr>
        <w:t>Account 342511 — Assigned risk score 0.8512 (85.12%) — Model decision: HOLD tier, flagged for reviewer triage (0.8512 ≥ 0.26 threshold).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126"/>
        <w:gridCol w:w="2100"/>
      </w:tblGrid>
      <w:tr w14:paraId="235E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65516A69">
            <w:r>
              <w:rPr>
                <w:b/>
                <w:bCs/>
                <w:color w:val="FFFFFF"/>
                <w:sz w:val="20"/>
                <w:szCs w:val="20"/>
              </w:rPr>
              <w:t>Feature</w:t>
            </w:r>
          </w:p>
        </w:tc>
        <w:tc>
          <w:tcPr>
            <w:tcW w:w="22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39B1CBA9">
            <w:r>
              <w:rPr>
                <w:b/>
                <w:bCs/>
                <w:color w:val="FFFFFF"/>
                <w:sz w:val="20"/>
                <w:szCs w:val="20"/>
              </w:rPr>
              <w:t>Value</w:t>
            </w:r>
          </w:p>
        </w:tc>
        <w:tc>
          <w:tcPr>
            <w:tcW w:w="2126"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50CDBE67">
            <w:r>
              <w:rPr>
                <w:b/>
                <w:bCs/>
                <w:color w:val="FFFFFF"/>
                <w:sz w:val="20"/>
                <w:szCs w:val="20"/>
              </w:rPr>
              <w:t>SHAP Contribution</w:t>
            </w:r>
          </w:p>
        </w:tc>
        <w:tc>
          <w:tcPr>
            <w:tcW w:w="21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3B2E770A">
            <w:r>
              <w:rPr>
                <w:b/>
                <w:bCs/>
                <w:color w:val="FFFFFF"/>
                <w:sz w:val="20"/>
                <w:szCs w:val="20"/>
              </w:rPr>
              <w:t>Direction</w:t>
            </w:r>
          </w:p>
        </w:tc>
      </w:tr>
      <w:tr w14:paraId="660B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7A50E32F">
            <w:r>
              <w:rPr>
                <w:sz w:val="20"/>
                <w:szCs w:val="20"/>
              </w:rPr>
              <w:t>cluster_size</w:t>
            </w:r>
          </w:p>
        </w:tc>
        <w:tc>
          <w:tcPr>
            <w:tcW w:w="22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3172FA9F">
            <w:r>
              <w:rPr>
                <w:sz w:val="20"/>
                <w:szCs w:val="20"/>
              </w:rPr>
              <w:t>2.0 accounts</w:t>
            </w:r>
          </w:p>
        </w:tc>
        <w:tc>
          <w:tcPr>
            <w:tcW w:w="21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35204C64">
            <w:r>
              <w:rPr>
                <w:sz w:val="20"/>
                <w:szCs w:val="20"/>
              </w:rPr>
              <w:t>+1.5987</w:t>
            </w:r>
          </w:p>
        </w:tc>
        <w:tc>
          <w:tcPr>
            <w:tcW w:w="21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597CA6CF">
            <w:r>
              <w:rPr>
                <w:sz w:val="20"/>
                <w:szCs w:val="20"/>
              </w:rPr>
              <w:t>▲ Increases risk — coordinated ring</w:t>
            </w:r>
          </w:p>
        </w:tc>
      </w:tr>
      <w:tr w14:paraId="409DD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0EDBC4D3">
            <w:r>
              <w:rPr>
                <w:sz w:val="20"/>
                <w:szCs w:val="20"/>
              </w:rPr>
              <w:t>purchase_value</w:t>
            </w:r>
          </w:p>
        </w:tc>
        <w:tc>
          <w:tcPr>
            <w:tcW w:w="22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06883B93">
            <w:r>
              <w:rPr>
                <w:sz w:val="20"/>
                <w:szCs w:val="20"/>
              </w:rPr>
              <w:t>$46.00</w:t>
            </w:r>
          </w:p>
        </w:tc>
        <w:tc>
          <w:tcPr>
            <w:tcW w:w="21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05CC3CE3">
            <w:r>
              <w:rPr>
                <w:sz w:val="20"/>
                <w:szCs w:val="20"/>
              </w:rPr>
              <w:t>+0.3509</w:t>
            </w:r>
          </w:p>
        </w:tc>
        <w:tc>
          <w:tcPr>
            <w:tcW w:w="21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07568A8E">
            <w:r>
              <w:rPr>
                <w:sz w:val="20"/>
                <w:szCs w:val="20"/>
              </w:rPr>
              <w:t>▲ Increases risk — high fraud profile</w:t>
            </w:r>
          </w:p>
        </w:tc>
      </w:tr>
      <w:tr w14:paraId="585E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6FAAD05E">
            <w:r>
              <w:rPr>
                <w:sz w:val="20"/>
                <w:szCs w:val="20"/>
              </w:rPr>
              <w:t>account_degree</w:t>
            </w:r>
          </w:p>
        </w:tc>
        <w:tc>
          <w:tcPr>
            <w:tcW w:w="22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59FD0815">
            <w:r>
              <w:rPr>
                <w:sz w:val="20"/>
                <w:szCs w:val="20"/>
              </w:rPr>
              <w:t>1.0 edge</w:t>
            </w:r>
          </w:p>
        </w:tc>
        <w:tc>
          <w:tcPr>
            <w:tcW w:w="21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048DE68B">
            <w:r>
              <w:rPr>
                <w:sz w:val="20"/>
                <w:szCs w:val="20"/>
              </w:rPr>
              <w:t>−0.2175</w:t>
            </w:r>
          </w:p>
        </w:tc>
        <w:tc>
          <w:tcPr>
            <w:tcW w:w="21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4B38BB61">
            <w:r>
              <w:rPr>
                <w:sz w:val="20"/>
                <w:szCs w:val="20"/>
              </w:rPr>
              <w:t>▼ Reduces risk — low node centrality</w:t>
            </w:r>
          </w:p>
        </w:tc>
      </w:tr>
    </w:tbl>
    <w:p w14:paraId="3158B574">
      <w:pPr>
        <w:spacing w:after="120"/>
      </w:pPr>
    </w:p>
    <w:p w14:paraId="386E8187">
      <w:pPr>
        <w:spacing w:after="160"/>
      </w:pPr>
      <w:r>
        <w:rPr>
          <w:i/>
          <w:iCs/>
          <w:sz w:val="20"/>
          <w:szCs w:val="20"/>
        </w:rPr>
        <w:t>Base risk score (test-set population baseline): 0.0460. Final predicted probability: 0.8512.</w:t>
      </w:r>
    </w:p>
    <w:p w14:paraId="4621A0D6">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DF0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5C99" w:sz="6" w:space="0"/>
              <w:left w:val="single" w:color="2E5C99" w:sz="6" w:space="0"/>
              <w:bottom w:val="single" w:color="2E5C99" w:sz="6" w:space="0"/>
              <w:right w:val="single" w:color="2E5C99" w:sz="6" w:space="0"/>
            </w:tcBorders>
            <w:shd w:val="clear" w:color="auto" w:fill="EAF1FB"/>
            <w:tcMar>
              <w:top w:w="160" w:type="dxa"/>
              <w:left w:w="200" w:type="dxa"/>
              <w:bottom w:w="160" w:type="dxa"/>
              <w:right w:w="200" w:type="dxa"/>
            </w:tcMar>
          </w:tcPr>
          <w:p w14:paraId="54EF1528">
            <w:pPr>
              <w:jc w:val="left"/>
            </w:pPr>
            <w:r>
              <w:rPr>
                <w:i/>
                <w:iCs/>
                <w:color w:val="1F3864"/>
                <w:sz w:val="22"/>
                <w:szCs w:val="22"/>
              </w:rPr>
              <w:t>Investigator interpretation: Account 342511 was flagged primarily because it belongs to a 2-account cluster sharing hardware device fingerprints and IP subnets with another active account, contributing a +1.5987 push to its risk score. Combined with a $46.00 purchase value (+0.3509 SHAP), the final risk score reached 85.12%, escalating the account to manual reviewer triage.</w:t>
            </w:r>
          </w:p>
        </w:tc>
      </w:tr>
    </w:tbl>
    <w:p w14:paraId="7A4C0DE4">
      <w:pPr>
        <w:spacing w:after="160"/>
      </w:pPr>
    </w:p>
    <w:p w14:paraId="115C8A01">
      <w:pPr>
        <w:pStyle w:val="2"/>
        <w:spacing w:before="320" w:after="160"/>
      </w:pPr>
      <w:r>
        <w:rPr>
          <w:b/>
          <w:bCs/>
          <w:color w:val="1F3864"/>
        </w:rPr>
        <w:t>9. Defense-Only Compliance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7BA3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03748096">
            <w:r>
              <w:rPr>
                <w:b/>
                <w:bCs/>
                <w:color w:val="FFFFFF"/>
                <w:sz w:val="20"/>
                <w:szCs w:val="20"/>
              </w:rPr>
              <w:t>Rule</w:t>
            </w:r>
          </w:p>
        </w:tc>
        <w:tc>
          <w:tcPr>
            <w:tcW w:w="5826"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48207275">
            <w:r>
              <w:rPr>
                <w:b/>
                <w:bCs/>
                <w:color w:val="FFFFFF"/>
                <w:sz w:val="20"/>
                <w:szCs w:val="20"/>
              </w:rPr>
              <w:t>How Abuse-Ring Sentinel Follows It</w:t>
            </w:r>
          </w:p>
        </w:tc>
      </w:tr>
      <w:tr w14:paraId="1930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1C59BFCA">
            <w:r>
              <w:rPr>
                <w:sz w:val="20"/>
                <w:szCs w:val="20"/>
              </w:rPr>
              <w:t>No automatic blocking</w:t>
            </w:r>
          </w:p>
        </w:tc>
        <w:tc>
          <w:tcPr>
            <w:tcW w:w="58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70433B24">
            <w:r>
              <w:rPr>
                <w:sz w:val="20"/>
                <w:szCs w:val="20"/>
              </w:rPr>
              <w:t>Output is a risk score sent to a human review queue only</w:t>
            </w:r>
          </w:p>
        </w:tc>
      </w:tr>
      <w:tr w14:paraId="19C9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1201EE95">
            <w:r>
              <w:rPr>
                <w:sz w:val="20"/>
                <w:szCs w:val="20"/>
              </w:rPr>
              <w:t>No exploit or attack logic</w:t>
            </w:r>
          </w:p>
        </w:tc>
        <w:tc>
          <w:tcPr>
            <w:tcW w:w="58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328866E9">
            <w:r>
              <w:rPr>
                <w:sz w:val="20"/>
                <w:szCs w:val="20"/>
              </w:rPr>
              <w:t>The system only detects and explains — it cannot act on any external account or system</w:t>
            </w:r>
          </w:p>
        </w:tc>
      </w:tr>
      <w:tr w14:paraId="58370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74B1D8E3">
            <w:r>
              <w:rPr>
                <w:sz w:val="20"/>
                <w:szCs w:val="20"/>
              </w:rPr>
              <w:t>Full audit trail</w:t>
            </w:r>
          </w:p>
        </w:tc>
        <w:tc>
          <w:tcPr>
            <w:tcW w:w="58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297FEBB9">
            <w:r>
              <w:rPr>
                <w:sz w:val="20"/>
                <w:szCs w:val="20"/>
              </w:rPr>
              <w:t>Every score, cluster, and reason is logged</w:t>
            </w:r>
          </w:p>
        </w:tc>
      </w:tr>
      <w:tr w14:paraId="17FA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065BBB2F">
            <w:r>
              <w:rPr>
                <w:sz w:val="20"/>
                <w:szCs w:val="20"/>
              </w:rPr>
              <w:t>No offense-capable code</w:t>
            </w:r>
          </w:p>
        </w:tc>
        <w:tc>
          <w:tcPr>
            <w:tcW w:w="58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312B3F08">
            <w:r>
              <w:rPr>
                <w:sz w:val="20"/>
                <w:szCs w:val="20"/>
              </w:rPr>
              <w:t>Nothing in this codebase can be repurposed to attack, scrape, or exploit a real system</w:t>
            </w:r>
          </w:p>
        </w:tc>
      </w:tr>
    </w:tbl>
    <w:p w14:paraId="24F62F03">
      <w:pPr>
        <w:pStyle w:val="2"/>
        <w:spacing w:before="320" w:after="160"/>
      </w:pPr>
      <w:r>
        <w:rPr>
          <w:b/>
          <w:bCs/>
          <w:color w:val="1F3864"/>
        </w:rPr>
        <w:t>10. Deployment Plan (Free Tier Only)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4131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DB6D9" w:sz="4" w:space="0"/>
              <w:left w:val="single" w:color="9DB6D9" w:sz="4" w:space="0"/>
              <w:bottom w:val="single" w:color="9DB6D9" w:sz="4" w:space="0"/>
              <w:right w:val="single" w:color="9DB6D9" w:sz="4" w:space="0"/>
            </w:tcBorders>
            <w:shd w:val="clear" w:color="auto" w:fill="D6E4F5"/>
            <w:tcMar>
              <w:top w:w="120" w:type="dxa"/>
              <w:left w:w="140" w:type="dxa"/>
              <w:bottom w:w="120" w:type="dxa"/>
              <w:right w:w="140" w:type="dxa"/>
            </w:tcMar>
            <w:vAlign w:val="center"/>
          </w:tcPr>
          <w:p w14:paraId="4C839064">
            <w:pPr>
              <w:spacing w:after="40"/>
              <w:jc w:val="center"/>
            </w:pPr>
            <w:r>
              <w:rPr>
                <w:b/>
                <w:bCs/>
                <w:color w:val="1F3864"/>
                <w:sz w:val="20"/>
                <w:szCs w:val="20"/>
              </w:rPr>
              <w:t>OFFLINE</w:t>
            </w:r>
          </w:p>
          <w:p w14:paraId="2C39FE60">
            <w:pPr>
              <w:spacing w:after="40"/>
              <w:jc w:val="center"/>
            </w:pPr>
            <w:r>
              <w:rPr>
                <w:b/>
                <w:bCs/>
                <w:color w:val="1F3864"/>
                <w:sz w:val="20"/>
                <w:szCs w:val="20"/>
              </w:rPr>
              <w:t>(run once, local machine)</w:t>
            </w:r>
          </w:p>
        </w:tc>
        <w:tc>
          <w:tcPr>
            <w:tcW w:w="4513" w:type="dxa"/>
            <w:tcBorders>
              <w:top w:val="single" w:color="9DB6D9" w:sz="4" w:space="0"/>
              <w:left w:val="single" w:color="9DB6D9" w:sz="4" w:space="0"/>
              <w:bottom w:val="single" w:color="9DB6D9" w:sz="4" w:space="0"/>
              <w:right w:val="single" w:color="9DB6D9" w:sz="4" w:space="0"/>
            </w:tcBorders>
            <w:shd w:val="clear" w:color="auto" w:fill="FCEFD0"/>
            <w:tcMar>
              <w:top w:w="120" w:type="dxa"/>
              <w:left w:w="140" w:type="dxa"/>
              <w:bottom w:w="120" w:type="dxa"/>
              <w:right w:w="140" w:type="dxa"/>
            </w:tcMar>
            <w:vAlign w:val="center"/>
          </w:tcPr>
          <w:p w14:paraId="27B4A895">
            <w:pPr>
              <w:spacing w:after="40"/>
              <w:jc w:val="center"/>
            </w:pPr>
            <w:r>
              <w:rPr>
                <w:b/>
                <w:bCs/>
                <w:color w:val="1F3864"/>
                <w:sz w:val="20"/>
                <w:szCs w:val="20"/>
              </w:rPr>
              <w:t>ONLINE</w:t>
            </w:r>
          </w:p>
          <w:p w14:paraId="09ECEA5C">
            <w:pPr>
              <w:spacing w:after="40"/>
              <w:jc w:val="center"/>
            </w:pPr>
            <w:r>
              <w:rPr>
                <w:b/>
                <w:bCs/>
                <w:color w:val="1F3864"/>
                <w:sz w:val="20"/>
                <w:szCs w:val="20"/>
              </w:rPr>
              <w:t>(deployed, free tier)</w:t>
            </w:r>
          </w:p>
        </w:tc>
      </w:tr>
      <w:tr w14:paraId="0DB2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9DB6D9" w:sz="4" w:space="0"/>
              <w:left w:val="single" w:color="9DB6D9" w:sz="4" w:space="0"/>
              <w:bottom w:val="single" w:color="9DB6D9" w:sz="4" w:space="0"/>
              <w:right w:val="single" w:color="9DB6D9" w:sz="4" w:space="0"/>
            </w:tcBorders>
            <w:tcMar>
              <w:top w:w="120" w:type="dxa"/>
              <w:left w:w="160" w:type="dxa"/>
              <w:bottom w:w="120" w:type="dxa"/>
              <w:right w:w="160" w:type="dxa"/>
            </w:tcMar>
          </w:tcPr>
          <w:p w14:paraId="42E35DBD">
            <w:pPr>
              <w:pStyle w:val="17"/>
              <w:numPr>
                <w:ilvl w:val="0"/>
                <w:numId w:val="1"/>
              </w:numPr>
              <w:spacing w:after="80"/>
            </w:pPr>
            <w:r>
              <w:t>Load &amp; clean dataset</w:t>
            </w:r>
          </w:p>
          <w:p w14:paraId="200E1C7C">
            <w:pPr>
              <w:pStyle w:val="17"/>
              <w:numPr>
                <w:ilvl w:val="0"/>
                <w:numId w:val="1"/>
              </w:numPr>
              <w:spacing w:after="80"/>
            </w:pPr>
            <w:r>
              <w:t>Build graph + run clustering</w:t>
            </w:r>
          </w:p>
          <w:p w14:paraId="46D417B2">
            <w:pPr>
              <w:pStyle w:val="17"/>
              <w:numPr>
                <w:ilvl w:val="0"/>
                <w:numId w:val="1"/>
              </w:numPr>
              <w:spacing w:after="80"/>
            </w:pPr>
            <w:r>
              <w:t>Train XGBoost model</w:t>
            </w:r>
          </w:p>
          <w:p w14:paraId="188607BA">
            <w:pPr>
              <w:pStyle w:val="17"/>
              <w:numPr>
                <w:ilvl w:val="0"/>
                <w:numId w:val="1"/>
              </w:numPr>
              <w:spacing w:after="80"/>
            </w:pPr>
            <w:r>
              <w:t>Generate SHAP explanations</w:t>
            </w:r>
          </w:p>
          <w:p w14:paraId="4E2AA470">
            <w:pPr>
              <w:pStyle w:val="17"/>
              <w:numPr>
                <w:ilvl w:val="0"/>
                <w:numId w:val="1"/>
              </w:numPr>
              <w:spacing w:after="80"/>
            </w:pPr>
            <w:r>
              <w:t>Save model file + cluster lookup + demo data</w:t>
            </w:r>
          </w:p>
        </w:tc>
        <w:tc>
          <w:tcPr>
            <w:tcW w:w="4513" w:type="dxa"/>
            <w:tcBorders>
              <w:top w:val="single" w:color="9DB6D9" w:sz="4" w:space="0"/>
              <w:left w:val="single" w:color="9DB6D9" w:sz="4" w:space="0"/>
              <w:bottom w:val="single" w:color="9DB6D9" w:sz="4" w:space="0"/>
              <w:right w:val="single" w:color="9DB6D9" w:sz="4" w:space="0"/>
            </w:tcBorders>
            <w:tcMar>
              <w:top w:w="120" w:type="dxa"/>
              <w:left w:w="160" w:type="dxa"/>
              <w:bottom w:w="120" w:type="dxa"/>
              <w:right w:w="160" w:type="dxa"/>
            </w:tcMar>
          </w:tcPr>
          <w:p w14:paraId="338CDB2D">
            <w:pPr>
              <w:spacing w:after="160"/>
            </w:pPr>
            <w:r>
              <w:rPr>
                <w:b/>
                <w:bCs/>
                <w:sz w:val="20"/>
                <w:szCs w:val="20"/>
              </w:rPr>
              <w:t>FastAPI backend (Render free tier)</w:t>
            </w:r>
          </w:p>
          <w:p w14:paraId="30797206">
            <w:pPr>
              <w:spacing w:after="160"/>
            </w:pPr>
            <w:r>
              <w:rPr>
                <w:sz w:val="20"/>
                <w:szCs w:val="20"/>
              </w:rPr>
              <w:t>Loads saved model, does fast scoring only — no heavy compute at request time.</w:t>
            </w:r>
          </w:p>
          <w:p w14:paraId="217F4FCB">
            <w:pPr>
              <w:spacing w:after="160"/>
            </w:pPr>
            <w:r>
              <w:rPr>
                <w:b/>
                <w:bCs/>
                <w:sz w:val="20"/>
                <w:szCs w:val="20"/>
              </w:rPr>
              <w:t>React dashboard (Vercel free tier)</w:t>
            </w:r>
          </w:p>
          <w:p w14:paraId="20A70958">
            <w:pPr>
              <w:spacing w:after="160"/>
            </w:pPr>
            <w:r>
              <w:rPr>
                <w:sz w:val="20"/>
                <w:szCs w:val="20"/>
              </w:rPr>
              <w:t>Shows flagged accounts, cluster graph, and reasons.</w:t>
            </w:r>
          </w:p>
        </w:tc>
      </w:tr>
    </w:tbl>
    <w:p w14:paraId="6C018CB3">
      <w:pPr>
        <w:spacing w:after="160"/>
      </w:pPr>
    </w:p>
    <w:p w14:paraId="31FF0EF9">
      <w:pPr>
        <w:spacing w:after="160"/>
      </w:pPr>
      <w:r>
        <w:t>Because all the heavy computation (graph-building, clustering, training) happens offline, the live app only does lightweight lookups and scoring — comfortably within free hosting limits.</w:t>
      </w:r>
    </w:p>
    <w:p w14:paraId="28B39EC5">
      <w:pPr>
        <w:pStyle w:val="2"/>
        <w:spacing w:before="320" w:after="160"/>
      </w:pPr>
      <w:r>
        <w:rPr>
          <w:b/>
          <w:bCs/>
          <w:color w:val="1F3864"/>
        </w:rPr>
        <w:t>11. Datasets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500"/>
        <w:gridCol w:w="3726"/>
      </w:tblGrid>
      <w:tr w14:paraId="2EE14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0A7EF131">
            <w:r>
              <w:rPr>
                <w:b/>
                <w:bCs/>
                <w:color w:val="FFFFFF"/>
                <w:sz w:val="20"/>
                <w:szCs w:val="20"/>
              </w:rPr>
              <w:t>Dataset</w:t>
            </w:r>
          </w:p>
        </w:tc>
        <w:tc>
          <w:tcPr>
            <w:tcW w:w="25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75406579">
            <w:r>
              <w:rPr>
                <w:b/>
                <w:bCs/>
                <w:color w:val="FFFFFF"/>
                <w:sz w:val="20"/>
                <w:szCs w:val="20"/>
              </w:rPr>
              <w:t>Size</w:t>
            </w:r>
          </w:p>
        </w:tc>
        <w:tc>
          <w:tcPr>
            <w:tcW w:w="3726"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6127A175">
            <w:r>
              <w:rPr>
                <w:b/>
                <w:bCs/>
                <w:color w:val="FFFFFF"/>
                <w:sz w:val="20"/>
                <w:szCs w:val="20"/>
              </w:rPr>
              <w:t>Role</w:t>
            </w:r>
          </w:p>
        </w:tc>
      </w:tr>
      <w:tr w14:paraId="6ACD3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0C1AA92F">
            <w:r>
              <w:rPr>
                <w:sz w:val="20"/>
                <w:szCs w:val="20"/>
              </w:rPr>
              <w:t>Amazon Fraud Detection Dataset (Kaggle, vbinh002)</w:t>
            </w:r>
          </w:p>
        </w:tc>
        <w:tc>
          <w:tcPr>
            <w:tcW w:w="25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06A3363F">
            <w:r>
              <w:rPr>
                <w:sz w:val="20"/>
                <w:szCs w:val="20"/>
              </w:rPr>
              <w:t>151,112 e-commerce transactions, ~9.4% fraud rate</w:t>
            </w:r>
          </w:p>
        </w:tc>
        <w:tc>
          <w:tcPr>
            <w:tcW w:w="37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05244332">
            <w:r>
              <w:rPr>
                <w:sz w:val="20"/>
                <w:szCs w:val="20"/>
              </w:rPr>
              <w:t>Primary dataset — has device_id and ip_address, needed for the graph layer</w:t>
            </w:r>
          </w:p>
        </w:tc>
      </w:tr>
      <w:tr w14:paraId="6A386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33FC4061">
            <w:r>
              <w:rPr>
                <w:sz w:val="20"/>
                <w:szCs w:val="20"/>
              </w:rPr>
              <w:t>IEEE-CIS Fraud Detection Dataset (Kaggle / Vesta Corp. / IEEE-CIS) [6]</w:t>
            </w:r>
          </w:p>
        </w:tc>
        <w:tc>
          <w:tcPr>
            <w:tcW w:w="25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6C819D8E">
            <w:r>
              <w:rPr>
                <w:sz w:val="20"/>
                <w:szCs w:val="20"/>
              </w:rPr>
              <w:t>590,540 real-world transactions</w:t>
            </w:r>
          </w:p>
        </w:tc>
        <w:tc>
          <w:tcPr>
            <w:tcW w:w="37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6218A89D">
            <w:r>
              <w:rPr>
                <w:sz w:val="20"/>
                <w:szCs w:val="20"/>
              </w:rPr>
              <w:t>Independent second dataset, used to confirm the tabular model isn't overfitted to one source</w:t>
            </w:r>
          </w:p>
        </w:tc>
      </w:tr>
    </w:tbl>
    <w:p w14:paraId="39620373">
      <w:pPr>
        <w:spacing w:after="160"/>
      </w:pPr>
    </w:p>
    <w:p w14:paraId="4706EF88">
      <w:pPr>
        <w:spacing w:after="160"/>
      </w:pPr>
      <w:r>
        <w:t>Honesty note: both datasets are public research/competition datasets, not Razorpay's real production data — this is stated plainly in the submission. IEEE-CIS's device-related columns are too sparse to support graph-building, so the ring-detection graph layer relies on the Amazon dataset only</w:t>
      </w:r>
      <w:r>
        <w:rPr>
          <w:rFonts w:hint="default"/>
          <w:lang w:val="en-IN"/>
        </w:rPr>
        <w:t>.</w:t>
      </w:r>
      <w:r>
        <w:rPr>
          <w:rFonts w:hint="default"/>
          <w:lang w:val="en-IN"/>
        </w:rPr>
        <w:br w:type="textWrapping"/>
      </w:r>
      <w:r>
        <w:rPr>
          <w:rFonts w:hint="default" w:ascii="Times New Roman" w:hAnsi="Times New Roman" w:eastAsia="SimSun" w:cs="Times New Roman"/>
          <w:b/>
          <w:bCs/>
          <w:sz w:val="20"/>
          <w:szCs w:val="20"/>
        </w:rPr>
        <w:t>Note:</w:t>
      </w:r>
      <w:r>
        <w:rPr>
          <w:rFonts w:hint="default" w:ascii="Times New Roman" w:hAnsi="Times New Roman" w:eastAsia="SimSun" w:cs="Times New Roman"/>
          <w:sz w:val="20"/>
          <w:szCs w:val="20"/>
        </w:rPr>
        <w:t xml:space="preserve"> Although the IEEE-CIS dataset contains address-related fields, the current graph implementation intentionally uses only shared device and IP signals for ring detection.</w:t>
      </w:r>
    </w:p>
    <w:p w14:paraId="43CCC41A">
      <w:pPr>
        <w:pStyle w:val="2"/>
        <w:spacing w:before="320" w:after="160"/>
      </w:pPr>
      <w:r>
        <w:rPr>
          <w:b/>
          <w:bCs/>
          <w:color w:val="1F3864"/>
        </w:rPr>
        <w:t>12. Tech Stack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126E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1E4DBD78">
            <w:r>
              <w:rPr>
                <w:b/>
                <w:bCs/>
                <w:color w:val="FFFFFF"/>
                <w:sz w:val="20"/>
                <w:szCs w:val="20"/>
              </w:rPr>
              <w:t>Layer</w:t>
            </w:r>
          </w:p>
        </w:tc>
        <w:tc>
          <w:tcPr>
            <w:tcW w:w="5826" w:type="dxa"/>
            <w:tcBorders>
              <w:top w:val="single" w:color="9DB6D9" w:sz="4" w:space="0"/>
              <w:left w:val="single" w:color="9DB6D9" w:sz="4" w:space="0"/>
              <w:bottom w:val="single" w:color="9DB6D9" w:sz="4" w:space="0"/>
              <w:right w:val="single" w:color="9DB6D9" w:sz="4" w:space="0"/>
            </w:tcBorders>
            <w:shd w:val="clear" w:color="auto" w:fill="1F3864"/>
            <w:tcMar>
              <w:top w:w="100" w:type="dxa"/>
              <w:left w:w="140" w:type="dxa"/>
              <w:bottom w:w="100" w:type="dxa"/>
              <w:right w:w="140" w:type="dxa"/>
            </w:tcMar>
          </w:tcPr>
          <w:p w14:paraId="1C82CB1D">
            <w:r>
              <w:rPr>
                <w:b/>
                <w:bCs/>
                <w:color w:val="FFFFFF"/>
                <w:sz w:val="20"/>
                <w:szCs w:val="20"/>
              </w:rPr>
              <w:t>Tool</w:t>
            </w:r>
          </w:p>
        </w:tc>
      </w:tr>
      <w:tr w14:paraId="0BB5F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3F069E19">
            <w:r>
              <w:rPr>
                <w:sz w:val="20"/>
                <w:szCs w:val="20"/>
              </w:rPr>
              <w:t>Graph construction &amp; clustering</w:t>
            </w:r>
          </w:p>
        </w:tc>
        <w:tc>
          <w:tcPr>
            <w:tcW w:w="58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139FF417">
            <w:r>
              <w:rPr>
                <w:sz w:val="20"/>
                <w:szCs w:val="20"/>
              </w:rPr>
              <w:t>networkx, python-louvain</w:t>
            </w:r>
          </w:p>
        </w:tc>
      </w:tr>
      <w:tr w14:paraId="257C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4030FA44">
            <w:r>
              <w:rPr>
                <w:sz w:val="20"/>
                <w:szCs w:val="20"/>
              </w:rPr>
              <w:t>Model</w:t>
            </w:r>
          </w:p>
        </w:tc>
        <w:tc>
          <w:tcPr>
            <w:tcW w:w="58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6B90E280">
            <w:r>
              <w:rPr>
                <w:sz w:val="20"/>
                <w:szCs w:val="20"/>
              </w:rPr>
              <w:t>XGBoost</w:t>
            </w:r>
          </w:p>
        </w:tc>
      </w:tr>
      <w:tr w14:paraId="1807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64AA209D">
            <w:r>
              <w:rPr>
                <w:sz w:val="20"/>
                <w:szCs w:val="20"/>
              </w:rPr>
              <w:t>Explainability</w:t>
            </w:r>
          </w:p>
        </w:tc>
        <w:tc>
          <w:tcPr>
            <w:tcW w:w="58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10584645">
            <w:r>
              <w:rPr>
                <w:sz w:val="20"/>
                <w:szCs w:val="20"/>
              </w:rPr>
              <w:t>SHAP</w:t>
            </w:r>
          </w:p>
        </w:tc>
      </w:tr>
      <w:tr w14:paraId="631B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3E8BBA03">
            <w:r>
              <w:rPr>
                <w:sz w:val="20"/>
                <w:szCs w:val="20"/>
              </w:rPr>
              <w:t>Backend</w:t>
            </w:r>
          </w:p>
        </w:tc>
        <w:tc>
          <w:tcPr>
            <w:tcW w:w="58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794FAFE3">
            <w:r>
              <w:rPr>
                <w:sz w:val="20"/>
                <w:szCs w:val="20"/>
              </w:rPr>
              <w:t>FastAPI</w:t>
            </w:r>
          </w:p>
        </w:tc>
      </w:tr>
      <w:tr w14:paraId="5E3E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02F3C956">
            <w:r>
              <w:rPr>
                <w:sz w:val="20"/>
                <w:szCs w:val="20"/>
              </w:rPr>
              <w:t>Frontend</w:t>
            </w:r>
          </w:p>
        </w:tc>
        <w:tc>
          <w:tcPr>
            <w:tcW w:w="5826" w:type="dxa"/>
            <w:tcBorders>
              <w:top w:val="single" w:color="9DB6D9" w:sz="4" w:space="0"/>
              <w:left w:val="single" w:color="9DB6D9" w:sz="4" w:space="0"/>
              <w:bottom w:val="single" w:color="9DB6D9" w:sz="4" w:space="0"/>
              <w:right w:val="single" w:color="9DB6D9" w:sz="4" w:space="0"/>
            </w:tcBorders>
            <w:shd w:val="clear" w:color="auto" w:fill="FFFFFF"/>
            <w:tcMar>
              <w:top w:w="100" w:type="dxa"/>
              <w:left w:w="140" w:type="dxa"/>
              <w:bottom w:w="100" w:type="dxa"/>
              <w:right w:w="140" w:type="dxa"/>
            </w:tcMar>
          </w:tcPr>
          <w:p w14:paraId="0D1F6322">
            <w:r>
              <w:rPr>
                <w:sz w:val="20"/>
                <w:szCs w:val="20"/>
              </w:rPr>
              <w:t>React</w:t>
            </w:r>
          </w:p>
        </w:tc>
      </w:tr>
      <w:tr w14:paraId="5868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4FD5D879">
            <w:r>
              <w:rPr>
                <w:sz w:val="20"/>
                <w:szCs w:val="20"/>
              </w:rPr>
              <w:t>Deployment</w:t>
            </w:r>
          </w:p>
        </w:tc>
        <w:tc>
          <w:tcPr>
            <w:tcW w:w="5826" w:type="dxa"/>
            <w:tcBorders>
              <w:top w:val="single" w:color="9DB6D9" w:sz="4" w:space="0"/>
              <w:left w:val="single" w:color="9DB6D9" w:sz="4" w:space="0"/>
              <w:bottom w:val="single" w:color="9DB6D9" w:sz="4" w:space="0"/>
              <w:right w:val="single" w:color="9DB6D9" w:sz="4" w:space="0"/>
            </w:tcBorders>
            <w:shd w:val="clear" w:color="auto" w:fill="EAF1FB"/>
            <w:tcMar>
              <w:top w:w="100" w:type="dxa"/>
              <w:left w:w="140" w:type="dxa"/>
              <w:bottom w:w="100" w:type="dxa"/>
              <w:right w:w="140" w:type="dxa"/>
            </w:tcMar>
          </w:tcPr>
          <w:p w14:paraId="760A6B58">
            <w:r>
              <w:rPr>
                <w:sz w:val="20"/>
                <w:szCs w:val="20"/>
              </w:rPr>
              <w:t>Render (backend) + Vercel (frontend) — both free tier</w:t>
            </w:r>
          </w:p>
        </w:tc>
      </w:tr>
    </w:tbl>
    <w:p w14:paraId="6A13844F">
      <w:pPr>
        <w:pStyle w:val="2"/>
        <w:spacing w:before="320" w:after="160"/>
      </w:pPr>
      <w:r>
        <w:rPr>
          <w:b/>
          <w:bCs/>
          <w:color w:val="1F3864"/>
        </w:rPr>
        <w:t>13. Limitations (Stated Honestly)</w:t>
      </w:r>
    </w:p>
    <w:p w14:paraId="594EE4ED">
      <w:pPr>
        <w:pStyle w:val="17"/>
        <w:numPr>
          <w:ilvl w:val="0"/>
          <w:numId w:val="1"/>
        </w:numPr>
        <w:spacing w:after="80"/>
      </w:pPr>
      <w:r>
        <w:t>The datasets are public research datasets, not real Razorpay transaction data — real-world performance may differ.</w:t>
      </w:r>
    </w:p>
    <w:p w14:paraId="12A03323">
      <w:pPr>
        <w:pStyle w:val="17"/>
        <w:numPr>
          <w:ilvl w:val="0"/>
          <w:numId w:val="1"/>
        </w:numPr>
        <w:spacing w:after="80"/>
      </w:pPr>
      <w:r>
        <w:t>The model can miss fraud patterns it hasn't seen before (concept drift), which is exactly why it recommends human review instead of taking automatic action.</w:t>
      </w:r>
    </w:p>
    <w:p w14:paraId="4EF64279">
      <w:pPr>
        <w:pStyle w:val="17"/>
        <w:numPr>
          <w:ilvl w:val="0"/>
          <w:numId w:val="1"/>
        </w:numPr>
        <w:spacing w:after="80"/>
      </w:pPr>
      <w:r>
        <w:t>Public/synthetic datasets don't always fully capture real-world fraud behavior — a known, documented limitation in current research [8].</w:t>
      </w:r>
    </w:p>
    <w:p w14:paraId="0023EC8B">
      <w:pPr>
        <w:pStyle w:val="2"/>
        <w:spacing w:before="320" w:after="160"/>
      </w:pPr>
      <w:r>
        <w:rPr>
          <w:b/>
          <w:bCs/>
          <w:color w:val="1F3864"/>
        </w:rPr>
        <w:t>14. Future Work</w:t>
      </w:r>
    </w:p>
    <w:p w14:paraId="43721F9B">
      <w:pPr>
        <w:pStyle w:val="17"/>
        <w:numPr>
          <w:ilvl w:val="0"/>
          <w:numId w:val="1"/>
        </w:numPr>
        <w:spacing w:after="80"/>
      </w:pPr>
      <w:r>
        <w:t>Add text-based signals (e.g. complaint or review text) via language-model embeddings, combined with the graph model — an approach explored in recent research [18].</w:t>
      </w:r>
    </w:p>
    <w:p w14:paraId="5324CB39">
      <w:pPr>
        <w:pStyle w:val="17"/>
        <w:numPr>
          <w:ilvl w:val="0"/>
          <w:numId w:val="1"/>
        </w:numPr>
        <w:spacing w:after="80"/>
      </w:pPr>
      <w:r>
        <w:t>Explore semi-supervised learning to reduce dependence on large labeled fraud datasets, since confirmed fraud labels are always scarce in real systems.</w:t>
      </w:r>
    </w:p>
    <w:p w14:paraId="7409CDE5">
      <w:pPr>
        <w:pStyle w:val="2"/>
        <w:spacing w:before="320" w:after="160"/>
      </w:pPr>
      <w:r>
        <w:rPr>
          <w:b/>
          <w:bCs/>
          <w:color w:val="1F3864"/>
        </w:rPr>
        <w:t>15. Research References</w:t>
      </w:r>
    </w:p>
    <w:p w14:paraId="1B3BBFDD">
      <w:pPr>
        <w:spacing w:after="160"/>
      </w:pPr>
      <w:r>
        <w:rPr>
          <w:i/>
          <w:iCs/>
        </w:rPr>
        <w:t>All design choices above are grounded in these public sources (accessed August 2026):</w:t>
      </w:r>
    </w:p>
    <w:p w14:paraId="5FFE8F49">
      <w:pPr>
        <w:spacing w:after="100"/>
      </w:pPr>
      <w:r>
        <w:rPr>
          <w:b/>
          <w:bCs/>
        </w:rPr>
        <w:t xml:space="preserve">1. </w:t>
      </w:r>
      <w:r>
        <w:t xml:space="preserve">Graph/Transformer-based Fraud Detection Paper Collection — </w:t>
      </w:r>
      <w:r>
        <w:fldChar w:fldCharType="begin"/>
      </w:r>
      <w:r>
        <w:instrText xml:space="preserve"> HYPERLINK "https://github.com/safe-graph/graph-fraud-detection-papers" </w:instrText>
      </w:r>
      <w:r>
        <w:fldChar w:fldCharType="separate"/>
      </w:r>
      <w:r>
        <w:rPr>
          <w:rStyle w:val="14"/>
          <w:color w:val="1155CC"/>
          <w:u w:val="single"/>
        </w:rPr>
        <w:t>https://github.com/safe-graph/graph-fraud-detection-papers</w:t>
      </w:r>
      <w:r>
        <w:rPr>
          <w:rStyle w:val="14"/>
          <w:color w:val="1155CC"/>
          <w:u w:val="single"/>
        </w:rPr>
        <w:fldChar w:fldCharType="end"/>
      </w:r>
    </w:p>
    <w:p w14:paraId="57B8B510">
      <w:pPr>
        <w:spacing w:after="100"/>
      </w:pPr>
      <w:r>
        <w:rPr>
          <w:b/>
          <w:bCs/>
        </w:rPr>
        <w:t xml:space="preserve">2. </w:t>
      </w:r>
      <w:r>
        <w:t xml:space="preserve">Graph-Based Neural Networks for Detecting Fraud Rings in Financial Transaction Networks — </w:t>
      </w:r>
      <w:r>
        <w:fldChar w:fldCharType="begin"/>
      </w:r>
      <w:r>
        <w:instrText xml:space="preserve"> HYPERLINK "https://www.researchgate.net/publication/401255721_GRAPH-BASED_NEURAL_NETWORKS_FOR_DETECTING_FRAUD_RINGS_IN_FINANCIAL_TRANSACTION_NETWORKS" </w:instrText>
      </w:r>
      <w:r>
        <w:fldChar w:fldCharType="separate"/>
      </w:r>
      <w:r>
        <w:rPr>
          <w:rStyle w:val="14"/>
          <w:color w:val="1155CC"/>
          <w:u w:val="single"/>
        </w:rPr>
        <w:t>https://www.researchgate.net/publication/401255721_GRAPH-BASED_NEURAL_NETWORKS_FOR_DETECTING_FRAUD_RINGS_IN_FINANCIAL_TRANSACTION_NETWORKS</w:t>
      </w:r>
      <w:r>
        <w:rPr>
          <w:rStyle w:val="14"/>
          <w:color w:val="1155CC"/>
          <w:u w:val="single"/>
        </w:rPr>
        <w:fldChar w:fldCharType="end"/>
      </w:r>
    </w:p>
    <w:p w14:paraId="0FEB7BE4">
      <w:pPr>
        <w:spacing w:after="100"/>
      </w:pPr>
      <w:r>
        <w:rPr>
          <w:b/>
          <w:bCs/>
        </w:rPr>
        <w:t xml:space="preserve">3. </w:t>
      </w:r>
      <w:r>
        <w:t xml:space="preserve">Fraud Detection Using Graph Neural Networks: A Survey — Springer, IWINAC 2026 — </w:t>
      </w:r>
      <w:r>
        <w:fldChar w:fldCharType="begin"/>
      </w:r>
      <w:r>
        <w:instrText xml:space="preserve"> HYPERLINK "https://link.springer.com/chapter/10.1007/978-3-032-27317-8_30" </w:instrText>
      </w:r>
      <w:r>
        <w:fldChar w:fldCharType="separate"/>
      </w:r>
      <w:r>
        <w:rPr>
          <w:rStyle w:val="14"/>
          <w:color w:val="1155CC"/>
          <w:u w:val="single"/>
        </w:rPr>
        <w:t>https://link.springer.com/chapter/10.1007/978-3-032-27317-8_30</w:t>
      </w:r>
      <w:r>
        <w:rPr>
          <w:rStyle w:val="14"/>
          <w:color w:val="1155CC"/>
          <w:u w:val="single"/>
        </w:rPr>
        <w:fldChar w:fldCharType="end"/>
      </w:r>
    </w:p>
    <w:p w14:paraId="15972681">
      <w:pPr>
        <w:spacing w:after="100"/>
      </w:pPr>
      <w:r>
        <w:rPr>
          <w:b/>
          <w:bCs/>
        </w:rPr>
        <w:t xml:space="preserve">4. </w:t>
      </w:r>
      <w:r>
        <w:t xml:space="preserve">Graph Neural Networks for Financial Fraud Detection: A Review (camouflaged fraudsters problem) — </w:t>
      </w:r>
      <w:r>
        <w:fldChar w:fldCharType="begin"/>
      </w:r>
      <w:r>
        <w:instrText xml:space="preserve"> HYPERLINK "https://arxiv.org/pdf/2411.05815" </w:instrText>
      </w:r>
      <w:r>
        <w:fldChar w:fldCharType="separate"/>
      </w:r>
      <w:r>
        <w:rPr>
          <w:rStyle w:val="14"/>
          <w:color w:val="1155CC"/>
          <w:u w:val="single"/>
        </w:rPr>
        <w:t>https://arxiv.org/pdf/2411.05815</w:t>
      </w:r>
      <w:r>
        <w:rPr>
          <w:rStyle w:val="14"/>
          <w:color w:val="1155CC"/>
          <w:u w:val="single"/>
        </w:rPr>
        <w:fldChar w:fldCharType="end"/>
      </w:r>
    </w:p>
    <w:p w14:paraId="7190F647">
      <w:pPr>
        <w:spacing w:after="100"/>
      </w:pPr>
      <w:r>
        <w:rPr>
          <w:b/>
          <w:bCs/>
        </w:rPr>
        <w:t xml:space="preserve">5. </w:t>
      </w:r>
      <w:r>
        <w:t xml:space="preserve">Graph Neural Networks for Fraud Detection: How-To Guide — JPMorgan AI Research / Visa Research findings — </w:t>
      </w:r>
      <w:r>
        <w:fldChar w:fldCharType="begin"/>
      </w:r>
      <w:r>
        <w:instrText xml:space="preserve"> HYPERLINK "https://www.fluxforce.ai/blog/graph-neural-networks-for-fraud-detection" </w:instrText>
      </w:r>
      <w:r>
        <w:fldChar w:fldCharType="separate"/>
      </w:r>
      <w:r>
        <w:rPr>
          <w:rStyle w:val="14"/>
          <w:color w:val="1155CC"/>
          <w:u w:val="single"/>
        </w:rPr>
        <w:t>https://www.fluxforce.ai/blog/graph-neural-networks-for-fraud-detection</w:t>
      </w:r>
      <w:r>
        <w:rPr>
          <w:rStyle w:val="14"/>
          <w:color w:val="1155CC"/>
          <w:u w:val="single"/>
        </w:rPr>
        <w:fldChar w:fldCharType="end"/>
      </w:r>
    </w:p>
    <w:p w14:paraId="32A60550">
      <w:pPr>
        <w:spacing w:after="100"/>
      </w:pPr>
      <w:r>
        <w:rPr>
          <w:b/>
          <w:bCs/>
        </w:rPr>
        <w:t xml:space="preserve">6. </w:t>
      </w:r>
      <w:r>
        <w:t xml:space="preserve">IEEE-CIS Fraud Detection Dataset — </w:t>
      </w:r>
      <w:r>
        <w:fldChar w:fldCharType="begin"/>
      </w:r>
      <w:r>
        <w:instrText xml:space="preserve"> HYPERLINK "https://ieee-dataport.org/documents/ieee-cis-fraud-detection" </w:instrText>
      </w:r>
      <w:r>
        <w:fldChar w:fldCharType="separate"/>
      </w:r>
      <w:r>
        <w:rPr>
          <w:rStyle w:val="14"/>
          <w:color w:val="1155CC"/>
          <w:u w:val="single"/>
        </w:rPr>
        <w:t>https://ieee-dataport.org/documents/ieee-cis-fraud-detection</w:t>
      </w:r>
      <w:r>
        <w:rPr>
          <w:rStyle w:val="14"/>
          <w:color w:val="1155CC"/>
          <w:u w:val="single"/>
        </w:rPr>
        <w:fldChar w:fldCharType="end"/>
      </w:r>
    </w:p>
    <w:p w14:paraId="58A8288B">
      <w:pPr>
        <w:spacing w:after="100"/>
      </w:pPr>
      <w:r>
        <w:rPr>
          <w:b/>
          <w:bCs/>
        </w:rPr>
        <w:t xml:space="preserve">7. </w:t>
      </w:r>
      <w:r>
        <w:t xml:space="preserve">A Comparative Review of Fraud Detection Techniques Using the IEEE-CIS Dataset — Springer, 2026 — </w:t>
      </w:r>
      <w:r>
        <w:fldChar w:fldCharType="begin"/>
      </w:r>
      <w:r>
        <w:instrText xml:space="preserve"> HYPERLINK "https://link.springer.com/chapter/10.1007/978-3-032-10940-8_17" </w:instrText>
      </w:r>
      <w:r>
        <w:fldChar w:fldCharType="separate"/>
      </w:r>
      <w:r>
        <w:rPr>
          <w:rStyle w:val="14"/>
          <w:color w:val="1155CC"/>
          <w:u w:val="single"/>
        </w:rPr>
        <w:t>https://link.springer.com/chapter/10.1007/978-3-032-10940-8_17</w:t>
      </w:r>
      <w:r>
        <w:rPr>
          <w:rStyle w:val="14"/>
          <w:color w:val="1155CC"/>
          <w:u w:val="single"/>
        </w:rPr>
        <w:fldChar w:fldCharType="end"/>
      </w:r>
    </w:p>
    <w:p w14:paraId="5B67C262">
      <w:pPr>
        <w:spacing w:after="100"/>
      </w:pPr>
      <w:r>
        <w:rPr>
          <w:b/>
          <w:bCs/>
        </w:rPr>
        <w:t xml:space="preserve">8. </w:t>
      </w:r>
      <w:r>
        <w:t xml:space="preserve">Synthetic Tabular Generators Fail to Preserve Behavioral Fraud Patterns — </w:t>
      </w:r>
      <w:r>
        <w:fldChar w:fldCharType="begin"/>
      </w:r>
      <w:r>
        <w:instrText xml:space="preserve"> HYPERLINK "https://arxiv.org/pdf/2604.13125" </w:instrText>
      </w:r>
      <w:r>
        <w:fldChar w:fldCharType="separate"/>
      </w:r>
      <w:r>
        <w:rPr>
          <w:rStyle w:val="14"/>
          <w:color w:val="1155CC"/>
          <w:u w:val="single"/>
        </w:rPr>
        <w:t>https://arxiv.org/pdf/2604.13125</w:t>
      </w:r>
      <w:r>
        <w:rPr>
          <w:rStyle w:val="14"/>
          <w:color w:val="1155CC"/>
          <w:u w:val="single"/>
        </w:rPr>
        <w:fldChar w:fldCharType="end"/>
      </w:r>
    </w:p>
    <w:p w14:paraId="6CC0A74C">
      <w:pPr>
        <w:spacing w:after="100"/>
      </w:pPr>
      <w:r>
        <w:rPr>
          <w:b/>
          <w:bCs/>
        </w:rPr>
        <w:t xml:space="preserve">9. </w:t>
      </w:r>
      <w:r>
        <w:t xml:space="preserve">Understanding Structured Financial Data with LLMs: A Case Study on Fraud Detection — </w:t>
      </w:r>
      <w:r>
        <w:fldChar w:fldCharType="begin"/>
      </w:r>
      <w:r>
        <w:instrText xml:space="preserve"> HYPERLINK "https://arxiv.org/pdf/2512.13040" </w:instrText>
      </w:r>
      <w:r>
        <w:fldChar w:fldCharType="separate"/>
      </w:r>
      <w:r>
        <w:rPr>
          <w:rStyle w:val="14"/>
          <w:color w:val="1155CC"/>
          <w:u w:val="single"/>
        </w:rPr>
        <w:t>https://arxiv.org/pdf/2512.13040</w:t>
      </w:r>
      <w:r>
        <w:rPr>
          <w:rStyle w:val="14"/>
          <w:color w:val="1155CC"/>
          <w:u w:val="single"/>
        </w:rPr>
        <w:fldChar w:fldCharType="end"/>
      </w:r>
    </w:p>
    <w:p w14:paraId="6F1B5305">
      <w:pPr>
        <w:spacing w:after="100"/>
      </w:pPr>
      <w:r>
        <w:rPr>
          <w:b/>
          <w:bCs/>
        </w:rPr>
        <w:t xml:space="preserve">10. </w:t>
      </w:r>
      <w:r>
        <w:t xml:space="preserve">A Systematic Evaluation Protocol of Graph-Derived Signals for Tabular Machine Learning (Elliptic dataset) — </w:t>
      </w:r>
      <w:r>
        <w:fldChar w:fldCharType="begin"/>
      </w:r>
      <w:r>
        <w:instrText xml:space="preserve"> HYPERLINK "https://arxiv.org/pdf/2603.13998" </w:instrText>
      </w:r>
      <w:r>
        <w:fldChar w:fldCharType="separate"/>
      </w:r>
      <w:r>
        <w:rPr>
          <w:rStyle w:val="14"/>
          <w:color w:val="1155CC"/>
          <w:u w:val="single"/>
        </w:rPr>
        <w:t>https://arxiv.org/pdf/2603.13998</w:t>
      </w:r>
      <w:r>
        <w:rPr>
          <w:rStyle w:val="14"/>
          <w:color w:val="1155CC"/>
          <w:u w:val="single"/>
        </w:rPr>
        <w:fldChar w:fldCharType="end"/>
      </w:r>
    </w:p>
    <w:p w14:paraId="41CB2944">
      <w:pPr>
        <w:spacing w:after="100"/>
      </w:pPr>
      <w:r>
        <w:rPr>
          <w:b/>
          <w:bCs/>
        </w:rPr>
        <w:t xml:space="preserve">11. </w:t>
      </w:r>
      <w:r>
        <w:t xml:space="preserve">Shapley Value-Guided Adaptive Ensemble Learning for Explainable Financial Fraud Detection — </w:t>
      </w:r>
      <w:r>
        <w:fldChar w:fldCharType="begin"/>
      </w:r>
      <w:r>
        <w:instrText xml:space="preserve"> HYPERLINK "https://arxiv.org/pdf/2604.14231" </w:instrText>
      </w:r>
      <w:r>
        <w:fldChar w:fldCharType="separate"/>
      </w:r>
      <w:r>
        <w:rPr>
          <w:rStyle w:val="14"/>
          <w:color w:val="1155CC"/>
          <w:u w:val="single"/>
        </w:rPr>
        <w:t>https://arxiv.org/pdf/2604.14231</w:t>
      </w:r>
      <w:r>
        <w:rPr>
          <w:rStyle w:val="14"/>
          <w:color w:val="1155CC"/>
          <w:u w:val="single"/>
        </w:rPr>
        <w:fldChar w:fldCharType="end"/>
      </w:r>
    </w:p>
    <w:p w14:paraId="683ABD66">
      <w:pPr>
        <w:spacing w:after="100"/>
      </w:pPr>
      <w:r>
        <w:rPr>
          <w:b/>
          <w:bCs/>
        </w:rPr>
        <w:t xml:space="preserve">12. </w:t>
      </w:r>
      <w:r>
        <w:t xml:space="preserve">Decision Friction: The Hidden Cost of False Positives — </w:t>
      </w:r>
      <w:r>
        <w:fldChar w:fldCharType="begin"/>
      </w:r>
      <w:r>
        <w:instrText xml:space="preserve"> HYPERLINK "https://www.digitalelement.com/blog/decision-friction-the-hidden-cost-of-false-positives/" </w:instrText>
      </w:r>
      <w:r>
        <w:fldChar w:fldCharType="separate"/>
      </w:r>
      <w:r>
        <w:rPr>
          <w:rStyle w:val="14"/>
          <w:color w:val="1155CC"/>
          <w:u w:val="single"/>
        </w:rPr>
        <w:t>https://www.digitalelement.com/blog/decision-friction-the-hidden-cost-of-false-positives/</w:t>
      </w:r>
      <w:r>
        <w:rPr>
          <w:rStyle w:val="14"/>
          <w:color w:val="1155CC"/>
          <w:u w:val="single"/>
        </w:rPr>
        <w:fldChar w:fldCharType="end"/>
      </w:r>
    </w:p>
    <w:p w14:paraId="2412843C">
      <w:pPr>
        <w:spacing w:after="100"/>
      </w:pPr>
      <w:r>
        <w:rPr>
          <w:b/>
          <w:bCs/>
        </w:rPr>
        <w:t xml:space="preserve">13. </w:t>
      </w:r>
      <w:r>
        <w:t xml:space="preserve">The True Cost of False Positives in the Battle to Prevent Fraud — Aite Group estimates — </w:t>
      </w:r>
      <w:r>
        <w:fldChar w:fldCharType="begin"/>
      </w:r>
      <w:r>
        <w:instrText xml:space="preserve"> HYPERLINK "https://www.incognia.com/blog/the-true-cost-of-false-positives-in-the-battle-to-prevent-fraud" </w:instrText>
      </w:r>
      <w:r>
        <w:fldChar w:fldCharType="separate"/>
      </w:r>
      <w:r>
        <w:rPr>
          <w:rStyle w:val="14"/>
          <w:color w:val="1155CC"/>
          <w:u w:val="single"/>
        </w:rPr>
        <w:t>https://www.incognia.com/blog/the-true-cost-of-false-positives-in-the-battle-to-prevent-fraud</w:t>
      </w:r>
      <w:r>
        <w:rPr>
          <w:rStyle w:val="14"/>
          <w:color w:val="1155CC"/>
          <w:u w:val="single"/>
        </w:rPr>
        <w:fldChar w:fldCharType="end"/>
      </w:r>
    </w:p>
    <w:p w14:paraId="5F6D4090">
      <w:pPr>
        <w:spacing w:after="100"/>
      </w:pPr>
      <w:r>
        <w:rPr>
          <w:b/>
          <w:bCs/>
        </w:rPr>
        <w:t xml:space="preserve">14. </w:t>
      </w:r>
      <w:r>
        <w:t xml:space="preserve">False Positives in Fraud Detection Are a Pricing Problem, Not a Model Problem — 2025 US fraud loss figures — </w:t>
      </w:r>
      <w:r>
        <w:fldChar w:fldCharType="begin"/>
      </w:r>
      <w:r>
        <w:instrText xml:space="preserve"> HYPERLINK "https://www.sigmainfo.net/blog/false-positives-in-fraud-detection-are-a-pricing-problem-not-a-model-problem/" </w:instrText>
      </w:r>
      <w:r>
        <w:fldChar w:fldCharType="separate"/>
      </w:r>
      <w:r>
        <w:rPr>
          <w:rStyle w:val="14"/>
          <w:color w:val="1155CC"/>
          <w:u w:val="single"/>
        </w:rPr>
        <w:t>https://www.sigmainfo.net/blog/false-positives-in-fraud-detection-are-a-pricing-problem-not-a-model-problem/</w:t>
      </w:r>
      <w:r>
        <w:rPr>
          <w:rStyle w:val="14"/>
          <w:color w:val="1155CC"/>
          <w:u w:val="single"/>
        </w:rPr>
        <w:fldChar w:fldCharType="end"/>
      </w:r>
    </w:p>
    <w:p w14:paraId="121545C1">
      <w:pPr>
        <w:spacing w:after="100"/>
      </w:pPr>
      <w:r>
        <w:rPr>
          <w:b/>
          <w:bCs/>
        </w:rPr>
        <w:t xml:space="preserve">15. </w:t>
      </w:r>
      <w:r>
        <w:t xml:space="preserve">False Positive Cost in Fraud Detection: The Real Bill — Javelin Strategy research — </w:t>
      </w:r>
      <w:r>
        <w:fldChar w:fldCharType="begin"/>
      </w:r>
      <w:r>
        <w:instrText xml:space="preserve"> HYPERLINK "https://www.fluxforce.ai/blog/false-positives-in-fraud-detection-why-they-cost-more-than-actual-fraud" </w:instrText>
      </w:r>
      <w:r>
        <w:fldChar w:fldCharType="separate"/>
      </w:r>
      <w:r>
        <w:rPr>
          <w:rStyle w:val="14"/>
          <w:color w:val="1155CC"/>
          <w:u w:val="single"/>
        </w:rPr>
        <w:t>https://www.fluxforce.ai/blog/false-positives-in-fraud-detection-why-they-cost-more-than-actual-fraud</w:t>
      </w:r>
      <w:r>
        <w:rPr>
          <w:rStyle w:val="14"/>
          <w:color w:val="1155CC"/>
          <w:u w:val="single"/>
        </w:rPr>
        <w:fldChar w:fldCharType="end"/>
      </w:r>
    </w:p>
    <w:p w14:paraId="6E521A77">
      <w:pPr>
        <w:spacing w:after="100"/>
      </w:pPr>
      <w:r>
        <w:rPr>
          <w:b/>
          <w:bCs/>
        </w:rPr>
        <w:t xml:space="preserve">16. </w:t>
      </w:r>
      <w:r>
        <w:t xml:space="preserve">False Positives &amp; Fraud Prevention Tools — J.P. Morgan case study — </w:t>
      </w:r>
      <w:r>
        <w:fldChar w:fldCharType="begin"/>
      </w:r>
      <w:r>
        <w:instrText xml:space="preserve"> HYPERLINK "https://www.jpmorgan.com/insights/payments/data-intelligence/cnp-fraud-prevention-combat-chargebacks" </w:instrText>
      </w:r>
      <w:r>
        <w:fldChar w:fldCharType="separate"/>
      </w:r>
      <w:r>
        <w:rPr>
          <w:rStyle w:val="14"/>
          <w:color w:val="1155CC"/>
          <w:u w:val="single"/>
        </w:rPr>
        <w:t>https://www.jpmorgan.com/insights/payments/data-intelligence/cnp-fraud-prevention-combat-chargebacks</w:t>
      </w:r>
      <w:r>
        <w:rPr>
          <w:rStyle w:val="14"/>
          <w:color w:val="1155CC"/>
          <w:u w:val="single"/>
        </w:rPr>
        <w:fldChar w:fldCharType="end"/>
      </w:r>
    </w:p>
    <w:p w14:paraId="3CDD922E">
      <w:pPr>
        <w:spacing w:after="100"/>
      </w:pPr>
      <w:r>
        <w:rPr>
          <w:b/>
          <w:bCs/>
        </w:rPr>
        <w:t xml:space="preserve">17. </w:t>
      </w:r>
      <w:r>
        <w:t xml:space="preserve">E-Commerce Return Abuse Detection Dataset (reference dataset) — </w:t>
      </w:r>
      <w:r>
        <w:fldChar w:fldCharType="begin"/>
      </w:r>
      <w:r>
        <w:instrText xml:space="preserve"> HYPERLINK "https://www.kaggle.com/datasets/sarveshchhetri/e-commerce-return-abuse-detection-dataset" </w:instrText>
      </w:r>
      <w:r>
        <w:fldChar w:fldCharType="separate"/>
      </w:r>
      <w:r>
        <w:rPr>
          <w:rStyle w:val="14"/>
          <w:color w:val="1155CC"/>
          <w:u w:val="single"/>
        </w:rPr>
        <w:t>https://www.kaggle.com/datasets/sarveshchhetri/e-commerce-return-abuse-detection-dataset</w:t>
      </w:r>
      <w:r>
        <w:rPr>
          <w:rStyle w:val="14"/>
          <w:color w:val="1155CC"/>
          <w:u w:val="single"/>
        </w:rPr>
        <w:fldChar w:fldCharType="end"/>
      </w:r>
    </w:p>
    <w:p w14:paraId="6B85934E">
      <w:pPr>
        <w:spacing w:after="100"/>
      </w:pPr>
      <w:r>
        <w:rPr>
          <w:b/>
          <w:bCs/>
        </w:rPr>
        <w:t xml:space="preserve">18. </w:t>
      </w:r>
      <w:r>
        <w:t xml:space="preserve">FLAG: Fraud Detection with LLM-enhanced Graph Neural Network — KDD 2025 (referenced within source 1) — </w:t>
      </w:r>
      <w:r>
        <w:fldChar w:fldCharType="begin"/>
      </w:r>
      <w:r>
        <w:instrText xml:space="preserve"> HYPERLINK "https://github.com/safe-graph/graph-fraud-detection-papers" </w:instrText>
      </w:r>
      <w:r>
        <w:fldChar w:fldCharType="separate"/>
      </w:r>
      <w:r>
        <w:rPr>
          <w:rStyle w:val="14"/>
          <w:color w:val="1155CC"/>
          <w:u w:val="single"/>
        </w:rPr>
        <w:t>https://github.com/safe-graph/graph-fraud-detection-papers</w:t>
      </w:r>
      <w:r>
        <w:rPr>
          <w:rStyle w:val="14"/>
          <w:color w:val="1155CC"/>
          <w:u w:val="single"/>
        </w:rPr>
        <w:fldChar w:fldCharType="end"/>
      </w:r>
    </w:p>
    <w:p w14:paraId="5D435DCF">
      <w:pPr>
        <w:pStyle w:val="2"/>
        <w:spacing w:before="320" w:after="160"/>
      </w:pPr>
      <w:r>
        <w:rPr>
          <w:b/>
          <w:bCs/>
          <w:color w:val="1F3864"/>
        </w:rPr>
        <w:t>16. Official Problem Statement</w:t>
      </w:r>
    </w:p>
    <w:p w14:paraId="639D2A46">
      <w:pPr>
        <w:spacing w:after="160"/>
      </w:pPr>
      <w:r>
        <w:t>Razorpay AI Buildathon 2026, Track 02 — AI Risk Manager (full brief, quoted from the official listing):</w:t>
      </w:r>
    </w:p>
    <w:p w14:paraId="47C798CE">
      <w:pPr>
        <w:spacing w:before="200" w:after="100"/>
      </w:pPr>
      <w:r>
        <w:rPr>
          <w:b/>
          <w:bCs/>
          <w:color w:val="2E5C99"/>
          <w:sz w:val="24"/>
          <w:szCs w:val="24"/>
        </w:rPr>
        <w:t>Track Goal</w:t>
      </w:r>
    </w:p>
    <w:p w14:paraId="63ACE122">
      <w:pPr>
        <w:spacing w:after="160"/>
      </w:pPr>
      <w:r>
        <w:t>Stop the merchant losing money to fraud, returns and chargebacks. Build a working detector, verifier or auto-responder for one class of loss, with measured precision and recall on a held-out test set.</w:t>
      </w:r>
    </w:p>
    <w:p w14:paraId="1E7C7B41">
      <w:pPr>
        <w:spacing w:before="200" w:after="100"/>
      </w:pPr>
      <w:r>
        <w:rPr>
          <w:b/>
          <w:bCs/>
          <w:color w:val="2E5C99"/>
          <w:sz w:val="24"/>
          <w:szCs w:val="24"/>
        </w:rPr>
        <w:t>Why Now</w:t>
      </w:r>
    </w:p>
    <w:p w14:paraId="5327095D">
      <w:pPr>
        <w:spacing w:after="160"/>
      </w:pPr>
      <w:r>
        <w:t>AI-enabled fraud is hitting Indian BFSI while returns and chargebacks quietly eat margin. This track surfaces the risk and ML minded builders the others miss.</w:t>
      </w:r>
    </w:p>
    <w:p w14:paraId="4B8F73B6">
      <w:pPr>
        <w:spacing w:before="200" w:after="100"/>
      </w:pPr>
      <w:r>
        <w:rPr>
          <w:b/>
          <w:bCs/>
          <w:color w:val="2E5C99"/>
          <w:sz w:val="24"/>
          <w:szCs w:val="24"/>
        </w:rPr>
        <w:t>Example Directions</w:t>
      </w:r>
    </w:p>
    <w:p w14:paraId="6E8939C3">
      <w:pPr>
        <w:pStyle w:val="17"/>
        <w:numPr>
          <w:ilvl w:val="0"/>
          <w:numId w:val="1"/>
        </w:numPr>
        <w:spacing w:after="80"/>
      </w:pPr>
      <w:r>
        <w:t>Chargeback evidence responder</w:t>
      </w:r>
    </w:p>
    <w:p w14:paraId="282F5A2C">
      <w:pPr>
        <w:pStyle w:val="17"/>
        <w:numPr>
          <w:ilvl w:val="0"/>
          <w:numId w:val="1"/>
        </w:numPr>
        <w:spacing w:after="80"/>
      </w:pPr>
      <w:r>
        <w:t>Return-risk scorer</w:t>
      </w:r>
    </w:p>
    <w:p w14:paraId="283036F2">
      <w:pPr>
        <w:pStyle w:val="17"/>
        <w:numPr>
          <w:ilvl w:val="0"/>
          <w:numId w:val="1"/>
        </w:numPr>
        <w:spacing w:after="80"/>
      </w:pPr>
      <w:r>
        <w:t>Fraud-spike detector</w:t>
      </w:r>
    </w:p>
    <w:p w14:paraId="7D28AACB">
      <w:pPr>
        <w:pStyle w:val="17"/>
        <w:numPr>
          <w:ilvl w:val="0"/>
          <w:numId w:val="1"/>
        </w:numPr>
        <w:spacing w:after="80"/>
      </w:pPr>
      <w:r>
        <w:t>Abuse-ring sentinel  ←  (this project)</w:t>
      </w:r>
    </w:p>
    <w:p w14:paraId="70CD4957">
      <w:pPr>
        <w:spacing w:before="200" w:after="100"/>
      </w:pPr>
      <w:r>
        <w:rPr>
          <w:b/>
          <w:bCs/>
          <w:color w:val="2E5C99"/>
          <w:sz w:val="24"/>
          <w:szCs w:val="24"/>
        </w:rPr>
        <w:t>The Bar</w:t>
      </w:r>
    </w:p>
    <w:p w14:paraId="15EFE7AA">
      <w:pPr>
        <w:spacing w:after="160"/>
      </w:pPr>
      <w:r>
        <w:t>Honest metrics including false-positive cost. Strictly defense-only: anything offense-capable is disqualified.</w:t>
      </w:r>
    </w:p>
    <w:p w14:paraId="6A6A2723">
      <w:pPr>
        <w:spacing w:after="100"/>
      </w:pPr>
    </w:p>
    <w:p w14:paraId="7DC0E66E">
      <w:pPr>
        <w:spacing w:after="100"/>
      </w:pPr>
      <w:r>
        <w:t xml:space="preserve">Official listing: </w:t>
      </w:r>
      <w:r>
        <w:fldChar w:fldCharType="begin"/>
      </w:r>
      <w:r>
        <w:instrText xml:space="preserve"> HYPERLINK "https://thejobcompany.co.in/frontend/job_details?job_id=6245" </w:instrText>
      </w:r>
      <w:r>
        <w:fldChar w:fldCharType="separate"/>
      </w:r>
      <w:r>
        <w:rPr>
          <w:rStyle w:val="14"/>
          <w:color w:val="1155CC"/>
          <w:u w:val="single"/>
        </w:rPr>
        <w:t>https://thejobcompany.co.in/frontend/job_details?job_id=6245</w:t>
      </w:r>
      <w:r>
        <w:rPr>
          <w:rStyle w:val="14"/>
          <w:color w:val="1155CC"/>
          <w:u w:val="single"/>
        </w:rPr>
        <w:fldChar w:fldCharType="end"/>
      </w:r>
    </w:p>
    <w:p w14:paraId="77FFCE32">
      <w:pPr>
        <w:spacing w:after="100"/>
      </w:pPr>
      <w:r>
        <w:t xml:space="preserve">Official buildathon site: </w:t>
      </w:r>
      <w:r>
        <w:fldChar w:fldCharType="begin"/>
      </w:r>
      <w:r>
        <w:instrText xml:space="preserve"> HYPERLINK "https://razorpay.com/buildathon/" </w:instrText>
      </w:r>
      <w:r>
        <w:fldChar w:fldCharType="separate"/>
      </w:r>
      <w:r>
        <w:rPr>
          <w:rStyle w:val="14"/>
          <w:color w:val="1155CC"/>
          <w:u w:val="single"/>
        </w:rPr>
        <w:t>https://razorpay.com/buildathon/</w:t>
      </w:r>
      <w:r>
        <w:rPr>
          <w:rStyle w:val="14"/>
          <w:color w:val="1155CC"/>
          <w:u w:val="single"/>
        </w:rPr>
        <w:fldChar w:fldCharType="end"/>
      </w:r>
    </w:p>
    <w:p w14:paraId="6FDC58D3">
      <w:pPr>
        <w:pStyle w:val="2"/>
        <w:spacing w:before="320" w:after="160"/>
      </w:pPr>
      <w:r>
        <w:rPr>
          <w:b/>
          <w:bCs/>
          <w:color w:val="1F3864"/>
        </w:rPr>
        <w:t>17. License</w:t>
      </w:r>
    </w:p>
    <w:p w14:paraId="19C5125B">
      <w:pPr>
        <w:spacing w:after="160"/>
      </w:pPr>
      <w:r>
        <w:t>This project is released under the MIT License — a permissive, student/open-source-friendly license that allows anyone to use, copy, modify, and distribute the code, provided the original copyright notice is retained.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1B3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5C99" w:sz="6" w:space="0"/>
              <w:left w:val="single" w:color="2E5C99" w:sz="6" w:space="0"/>
              <w:bottom w:val="single" w:color="2E5C99" w:sz="6" w:space="0"/>
              <w:right w:val="single" w:color="2E5C99" w:sz="6" w:space="0"/>
            </w:tcBorders>
            <w:shd w:val="clear" w:color="auto" w:fill="EAF1FB"/>
            <w:tcMar>
              <w:top w:w="160" w:type="dxa"/>
              <w:left w:w="200" w:type="dxa"/>
              <w:bottom w:w="160" w:type="dxa"/>
              <w:right w:w="200" w:type="dxa"/>
            </w:tcMar>
          </w:tcPr>
          <w:p w14:paraId="3873C59C">
            <w:pPr>
              <w:spacing w:after="100"/>
            </w:pPr>
            <w:r>
              <w:rPr>
                <w:b/>
                <w:bCs/>
                <w:i/>
                <w:iCs/>
                <w:color w:val="1F3864"/>
                <w:sz w:val="19"/>
                <w:szCs w:val="19"/>
              </w:rPr>
              <w:t>MIT License</w:t>
            </w:r>
          </w:p>
          <w:p w14:paraId="4FE3360D">
            <w:pPr>
              <w:spacing w:after="100"/>
            </w:pPr>
            <w:r>
              <w:rPr>
                <w:b w:val="0"/>
                <w:bCs w:val="0"/>
                <w:i/>
                <w:iCs/>
                <w:color w:val="1F3864"/>
                <w:sz w:val="19"/>
                <w:szCs w:val="19"/>
              </w:rPr>
              <w:t>Copyright (c) 2026 Nandini Singh</w:t>
            </w:r>
          </w:p>
          <w:p w14:paraId="706EB2EA">
            <w:pPr>
              <w:spacing w:after="100"/>
            </w:pPr>
            <w:r>
              <w:rPr>
                <w:b w:val="0"/>
                <w:bCs w:val="0"/>
                <w:i/>
                <w:iCs/>
                <w:color w:val="1F3864"/>
                <w:sz w:val="19"/>
                <w:szCs w:val="19"/>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subject to the following conditions:</w:t>
            </w:r>
          </w:p>
          <w:p w14:paraId="4CBD22A1">
            <w:pPr>
              <w:spacing w:after="100"/>
            </w:pPr>
            <w:r>
              <w:rPr>
                <w:b w:val="0"/>
                <w:bCs w:val="0"/>
                <w:i/>
                <w:iCs/>
                <w:color w:val="1F3864"/>
                <w:sz w:val="19"/>
                <w:szCs w:val="19"/>
              </w:rPr>
              <w:t>The above copyright notice and this permission notice shall be included in all copies or substantial portions of the Software.</w:t>
            </w:r>
          </w:p>
          <w:p w14:paraId="1D0D3B0D">
            <w:pPr>
              <w:spacing w:after="100"/>
            </w:pPr>
            <w:r>
              <w:rPr>
                <w:b w:val="0"/>
                <w:bCs w:val="0"/>
                <w:i/>
                <w:iCs/>
                <w:color w:val="1F3864"/>
                <w:sz w:val="19"/>
                <w:szCs w:val="19"/>
              </w:rPr>
              <w:t>THE SOFTWARE IS PROVIDED “AS IS”, WITHOUT WARRANTY OF ANY KIND, EXPRESS OR IMPLIED, INCLUDING BUT NOT LIMITED TO THE WARRANTIES OF MERCHANTABILITY, FITNESS FOR A PARTICULAR PURPOSE AND NONINFRINGEMENT.</w:t>
            </w:r>
          </w:p>
        </w:tc>
      </w:tr>
    </w:tbl>
    <w:p w14:paraId="2EA7AC16">
      <w:pPr>
        <w:spacing w:after="160"/>
      </w:pPr>
    </w:p>
    <w:p w14:paraId="5C9CB4AD">
      <w:pPr>
        <w:spacing w:after="160"/>
      </w:pPr>
      <w:r>
        <w:rPr>
          <w:i/>
          <w:iCs/>
          <w:sz w:val="20"/>
          <w:szCs w:val="20"/>
        </w:rPr>
        <w:t>Note: the two datasets used (Amazon Fraud Detection Dataset, IEEE-CIS Fraud Detection Dataset) remain under their own original Kaggle/competition licenses and are not covered by this project's MIT License — see Section 11.</w:t>
      </w:r>
    </w:p>
    <w:sectPr>
      <w:pgSz w:w="12240" w:h="15840"/>
      <w:pgMar w:top="1000" w:right="1080" w:bottom="10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3D70A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character" w:styleId="15">
    <w:name w:val="Strong"/>
    <w:basedOn w:val="8"/>
    <w:qFormat/>
    <w:uiPriority w:val="0"/>
    <w:rPr>
      <w:b/>
      <w:bCs/>
    </w:rPr>
  </w:style>
  <w:style w:type="paragraph" w:styleId="16">
    <w:name w:val="Title"/>
    <w:qFormat/>
    <w:uiPriority w:val="0"/>
    <w:rPr>
      <w:sz w:val="56"/>
      <w:szCs w:val="56"/>
    </w:rPr>
  </w:style>
  <w:style w:type="paragraph" w:styleId="17">
    <w:name w:val="List Paragraph"/>
    <w:qFormat/>
    <w:uiPriority w:val="0"/>
    <w:rPr>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373</Words>
  <Characters>1975</Characters>
  <TotalTime>12</TotalTime>
  <ScaleCrop>false</ScaleCrop>
  <LinksUpToDate>false</LinksUpToDate>
  <CharactersWithSpaces>2309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2026-09-05T15:27:00Z</dcterms:created>
  <dc:creator>Un-named</dc:creator>
  <cp:lastModifiedBy>Nandini Singh</cp:lastModifiedBy>
  <dcterms:modified xsi:type="dcterms:W3CDTF">2026-09-05T17:11:33Z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eyJoZGlkIjoiMDljYzUzMWQ4OWI0YzBkYjYzMDRhZTY5ZjZkYmFmYTgiLCJ1c2VySWQiOiI1Njc2MTcxMzk4NTYifQ==</vt:lpwstr>
  </property>
  <property fmtid="{D5CDD505-2E9C-101B-9397-08002B2CF9AE}" pid="3" name="KSOProductBuildVer">
    <vt:lpwstr>1033-12.1.0.26880</vt:lpwstr>
  </property>
  <property fmtid="{D5CDD505-2E9C-101B-9397-08002B2CF9AE}" pid="4" name="ICV">
    <vt:lpwstr>FBB00EA861DA497588A6B26939124561_13</vt:lpwstr>
  </property>
</Properties>
</file>