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AI Model Testing and Evaluation Report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Problem definition, data, training, evaluation, robustness, limitations and deployment verification of the Foresight spoilage classifier.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 — AI model testing and evaluation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17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Problem statement and intended use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Do the labels support a spoilage interpretation?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Dataset provenance, eligibility and balance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Training methodology and split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Architecture and rationale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Training curves and test results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  Error analysis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  Robustness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9  Comparison against baselines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10  Human visible-decay labels and the visible-decay check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11  Pilot U-Net and proxy shelf-life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12  Limitations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13  Reproducibility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14  Deployment inference tests and verdict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Problem statement and intended use</w:t>
      </w:r>
      <w:bookmarkEnd w:id="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Task: given one RGB photograph of a single fruit or vegetable from six supported types, predict (a) the produce type and (b) whether it shows the visual characteristics of TR-6 images labelled 'Spoiled'. Intended use: an educational research prototype that flags visible spoilage cues. It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a food-safety determination, cannot see internal decay, and its shelf-life output is a </w:t>
      </w:r>
      <w:r>
        <w:rPr>
          <w:rFonts w:ascii="Calibri" w:cs="Calibri" w:eastAsia="Calibri" w:hAnsi="Calibri"/>
          <w:b/>
          <w:bCs/>
        </w:rPr>
        <w:t xml:space="preserve">proxy</w:t>
      </w:r>
      <w:r>
        <w:rPr>
          <w:rFonts w:ascii="Calibri" w:cs="Calibri" w:eastAsia="Calibri" w:hAnsi="Calibri"/>
        </w:rPr>
        <w:t xml:space="preserve"> (days until the dataset's 'Spoiled' label), not measured remaining shelf life.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Prediction scope.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409"/>
        <w:gridCol w:w="5300"/>
        <w:gridCol w:w="1929"/>
      </w:tblGrid>
      <w:tr>
        <w:trPr>
          <w:tblHeader/>
        </w:trPr>
        <w:tc>
          <w:tcPr>
            <w:tcW w:type="dxa" w:w="240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530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Classes / form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Supported?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Produce type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Banana, Carrot, Guava, Indian Gooseberry, Mango, Tomato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Spoilage</w:t>
            </w:r>
          </w:p>
        </w:tc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Not spoiled / Spoiled (softmax score, uncalibrated)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Shelf-life (days)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proxy: days until TR-6 'Spoiled' label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PROXY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Decay mask / area</w:t>
            </w:r>
          </w:p>
        </w:tc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pilot U-Net (machine-generated training masks)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PILOT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Visible decay (image-level)</w:t>
            </w:r>
          </w:p>
        </w:tc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probe trained on human labels</w:t>
            </w:r>
          </w:p>
        </w:tc>
        <w:tc>
          <w:tcPr>
            <w:tcW w:type="dxa" w:w="1929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Multiple items per photo</w:t>
            </w:r>
          </w:p>
        </w:tc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—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 (single-item mode)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  Do the labels support a spoilage interpretation?</w:t>
      </w:r>
      <w:bookmarkEnd w:id="2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spoilage target is the TR-6 </w:t>
      </w:r>
      <w:r>
        <w:rPr>
          <w:rFonts w:ascii="Consolas" w:cs="Consolas" w:eastAsia="Consolas" w:hAnsi="Consolas"/>
          <w:sz w:val="19"/>
          <w:szCs w:val="19"/>
        </w:rPr>
        <w:t xml:space="preserve">Classified/{Spoiled, Not_spoiled}</w:t>
      </w:r>
      <w:r>
        <w:rPr>
          <w:rFonts w:ascii="Calibri" w:cs="Calibri" w:eastAsia="Calibri" w:hAnsi="Calibri"/>
        </w:rPr>
        <w:t xml:space="preserve"> folder label supplied by the dataset authors. Evidence gathered: (i) every Classified image is a byte-identical copy of a Normal image, i.e. the labels were assigned to an existing time series; (ii) within each produce type the label is a function of capture date — the last Not_spoiled capture precedes the first Spoiled capture for 6 of 6 produce types (Banana: NS 2025-09-11→2025-09-13, S 2025-09-15→2025-09-18; Carrot: NS 2025-07-25→2025-07-26, S 2025-07-28→2025-08-04; Guava: NS 2025-06-25→2025-06-28, S 2025-06-30→2025-07-05; Indian Gooseberry: NS 2025-07-23→2025-08-12, S 2025-08-13→2025-09-08; Mango: NS 2025-09-20→2025-09-26, S 2025-09-29→2025-10-03; Tomato: NS 2025-07-23→2025-09-24, S 2025-09-26→2025-10-03); (iii) 170 thermal contents carry both labels and were excluded; (iv) visual inspection shows clear decay for Spoiled banana, carrot and guava, but many Spoiled Indian Gooseberries look fresh. Conclusion: the labels support the interpretation </w:t>
      </w:r>
      <w:r>
        <w:rPr>
          <w:rFonts w:ascii="Calibri" w:cs="Calibri" w:eastAsia="Calibri" w:hAnsi="Calibri"/>
          <w:b/>
          <w:bCs/>
        </w:rPr>
        <w:t xml:space="preserve">'resembles the dataset authors' later-stage (spoiled) images'</w:t>
      </w:r>
      <w:r>
        <w:rPr>
          <w:rFonts w:ascii="Calibri" w:cs="Calibri" w:eastAsia="Calibri" w:hAnsi="Calibri"/>
        </w:rPr>
        <w:t xml:space="preserve">, which partly coincides with visible decay. They were not independently verified, and the model's outputs must be described accordingly.</w:t>
      </w:r>
    </w:p>
    <w:p>
      <w:pPr>
        <w:pStyle w:val="Heading1"/>
      </w:pPr>
      <w:bookmarkStart w:name="_Toc3" w:id="3"/>
      <w:r>
        <w:t xml:space="preserve">3  Dataset provenance, eligibility and balance</w:t>
      </w:r>
      <w:bookmarkEnd w:id="3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Source: TriModal Ripeness 6 (Bagyammal et al., 2025; Figshare DOI 10.6084/m9.figshare.30783827.v1; CC BY 4.0). Of 10,776 unique image contents, 5,335 sRGB contents were eligible (excluded: conflicting spoilage labels 170, modality out of scope thermal 5,084, no spoilage label normal only 187). Exact duplicates collapse to one sample; no image or capture session appears in more than one split. Class balance: Tomato/Not spoiled is 2,073 of 5,335 images; Spoiled is 1,665 (31.2%). Macro-F1 is therefore the primary metric.</w:t>
      </w:r>
    </w:p>
    <w:p>
      <w:pPr>
        <w:pStyle w:val="Heading1"/>
      </w:pPr>
      <w:bookmarkStart w:name="_Toc4" w:id="4"/>
      <w:r>
        <w:t xml:space="preserve">4  Training methodology and split</w:t>
      </w:r>
      <w:bookmarkEnd w:id="4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60/20/20 split by capture session within each produce × label stratum (seed 42): 3,177 / 1,087 / 1,071 (59.55% / 20.37% / 20.07%). Augmentation only on training images; normalisation statistics from the pretrained checkpoint (none fitted on TR-6); checkpoint selected on validation; test evaluated once.</w:t>
      </w:r>
    </w:p>
    <w:p>
      <w:pPr>
        <w:pStyle w:val="Heading1"/>
      </w:pPr>
      <w:bookmarkStart w:name="_Toc5" w:id="5"/>
      <w:r>
        <w:t xml:space="preserve">5  Architecture and rationale</w:t>
      </w:r>
      <w:bookmarkEnd w:id="5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ViT-B/16 pretrained on ImageNet-21k and fine-tuned on ImageNet-1k (</w:t>
      </w:r>
      <w:r>
        <w:rPr>
          <w:rFonts w:ascii="Consolas" w:cs="Consolas" w:eastAsia="Consolas" w:hAnsi="Consolas"/>
          <w:sz w:val="19"/>
          <w:szCs w:val="19"/>
        </w:rPr>
        <w:t xml:space="preserve">timm</w:t>
      </w:r>
      <w:r>
        <w:rPr>
          <w:rFonts w:ascii="Calibri" w:cs="Calibri" w:eastAsia="Calibri" w:hAnsi="Calibri"/>
        </w:rPr>
        <w:t xml:space="preserve"> augreg2), fine-tuned end to end with two linear heads on the CLS embedding (dropout 0.1). Self-attention: Attention(Q,K,V) = softmax(QKᵀ/√d_k)V with 12 heads × 12 layers over 196 patches. Loss: L = CE(produce) + CE(spoilage). Rationale: strong transfer from large-scale pretraining for a small dataset; global attention captures spatially distributed decay; attention rollout gives an architecture-native explanation; the specification required a ViT.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Hyperparameters (actual values from the run configuration).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Hyperparameter</w:t>
            </w:r>
          </w:p>
        </w:tc>
        <w:tc>
          <w:tcPr>
            <w:tcW w:type="dxa" w:w="674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Backbone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vit_base_patch16_224.augreg2_in21k_ft_in1k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Input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224×224 RGB; mean [0.5, 0.5, 0.5], std [0.5, 0.5, 0.5]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Optimiser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AdamW, weight decay 0.01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Learning rate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backbone 2e-05, heads 0.0002; 1.0 epoch warm-up + cosine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Batch / epochs / patience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16 / 12 / 4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Augmentation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conventional (crop, flips, ±15° rotation, brightness/contrast ±0.15; no hue/saturation)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Loss weights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λ_type 1.0, λ_spoil 1.0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Seed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Device / software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mps; torch 2.14.1, timm 1.0.30, Python 3.11.16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Epochs run / selected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 / 9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SHA-256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fef8f50c818be6ae…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6  Training curves and test results</w:t>
      </w:r>
      <w:bookmarkEnd w:id="6"/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867150"/>
            <wp:effectExtent t="0" r="0" b="0" l="0"/>
            <wp:docPr id="1" name="primary_training_loss.png" descr="Training and validation los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1.</w:t>
      </w:r>
      <w:r>
        <w:rPr>
          <w:rFonts w:ascii="Calibri" w:cs="Calibri" w:eastAsia="Calibri" w:hAnsi="Calibri"/>
          <w:sz w:val="18"/>
          <w:szCs w:val="18"/>
        </w:rPr>
        <w:t xml:space="preserve"> Training and validation loss.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867150"/>
            <wp:effectExtent t="0" r="0" b="0" l="0"/>
            <wp:docPr id="2" name="primary_validation_metrics.png" descr="Validation macro-F1 per epoch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2.</w:t>
      </w:r>
      <w:r>
        <w:rPr>
          <w:rFonts w:ascii="Calibri" w:cs="Calibri" w:eastAsia="Calibri" w:hAnsi="Calibri"/>
          <w:sz w:val="18"/>
          <w:szCs w:val="18"/>
        </w:rPr>
        <w:t xml:space="preserve"> Validation macro-F1 per epoch.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Final test-set results (selected checkpoint, n = 1,071).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433"/>
        <w:gridCol w:w="2602"/>
        <w:gridCol w:w="2603"/>
      </w:tblGrid>
      <w:tr>
        <w:trPr>
          <w:tblHeader/>
        </w:trPr>
        <w:tc>
          <w:tcPr>
            <w:tcW w:type="dxa" w:w="443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60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Produce type</w:t>
            </w:r>
          </w:p>
        </w:tc>
        <w:tc>
          <w:tcPr>
            <w:tcW w:type="dxa" w:w="260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Spoilage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Accuracy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1.0000</w:t>
            </w:r>
          </w:p>
        </w:tc>
        <w:tc>
          <w:tcPr>
            <w:tcW w:type="dxa" w:w="26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0.9608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Macro precision</w:t>
            </w:r>
          </w:p>
        </w:tc>
        <w:tc>
          <w:tcPr>
            <w:tcW w:type="dxa" w:w="26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1.0000</w:t>
            </w:r>
          </w:p>
        </w:tc>
        <w:tc>
          <w:tcPr>
            <w:tcW w:type="dxa" w:w="260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0.9667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Macro recall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1.0000</w:t>
            </w:r>
          </w:p>
        </w:tc>
        <w:tc>
          <w:tcPr>
            <w:tcW w:type="dxa" w:w="26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0.9430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Macro-F1</w:t>
            </w:r>
          </w:p>
        </w:tc>
        <w:tc>
          <w:tcPr>
            <w:tcW w:type="dxa" w:w="26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1.0000</w:t>
            </w:r>
          </w:p>
        </w:tc>
        <w:tc>
          <w:tcPr>
            <w:tcW w:type="dxa" w:w="260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0.9536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ROC-AUC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1.0000 (OvR)</w:t>
            </w:r>
          </w:p>
        </w:tc>
        <w:tc>
          <w:tcPr>
            <w:tcW w:type="dxa" w:w="26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0.9893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Spoilage macro-F1, session-bootstrap 95% CI</w:t>
            </w:r>
          </w:p>
        </w:tc>
        <w:tc>
          <w:tcPr>
            <w:tcW w:type="dxa" w:w="26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–</w:t>
            </w:r>
          </w:p>
        </w:tc>
        <w:tc>
          <w:tcPr>
            <w:tcW w:type="dxa" w:w="260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0.903 – 0.988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Spoiled recall, session-bootstrap 95% CI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–</w:t>
            </w:r>
          </w:p>
        </w:tc>
        <w:tc>
          <w:tcPr>
            <w:tcW w:type="dxa" w:w="26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0.773 – 0.984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Expected calibration error (10 bins)</w:t>
            </w:r>
          </w:p>
        </w:tc>
        <w:tc>
          <w:tcPr>
            <w:tcW w:type="dxa" w:w="26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–</w:t>
            </w:r>
          </w:p>
        </w:tc>
        <w:tc>
          <w:tcPr>
            <w:tcW w:type="dxa" w:w="260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0.038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667000"/>
            <wp:effectExtent t="0" r="0" b="0" l="0"/>
            <wp:docPr id="3" name="primary_confusion_spoilage.png" descr="Spoilage confusion matrix (test)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3.</w:t>
      </w:r>
      <w:r>
        <w:rPr>
          <w:rFonts w:ascii="Calibri" w:cs="Calibri" w:eastAsia="Calibri" w:hAnsi="Calibri"/>
          <w:sz w:val="18"/>
          <w:szCs w:val="18"/>
        </w:rPr>
        <w:t xml:space="preserve"> Spoilage confusion matrix (test).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847975"/>
            <wp:effectExtent t="0" r="0" b="0" l="0"/>
            <wp:docPr id="4" name="primary_roc_spoilage.png" descr="Spoilage ROC curve (test)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4.</w:t>
      </w:r>
      <w:r>
        <w:rPr>
          <w:rFonts w:ascii="Calibri" w:cs="Calibri" w:eastAsia="Calibri" w:hAnsi="Calibri"/>
          <w:sz w:val="18"/>
          <w:szCs w:val="18"/>
        </w:rPr>
        <w:t xml:space="preserve"> Spoilage ROC curve (test).</w:t>
      </w:r>
    </w:p>
    <w:p>
      <w:pPr>
        <w:pStyle w:val="Heading1"/>
      </w:pPr>
      <w:bookmarkStart w:name="_Toc7" w:id="7"/>
      <w:r>
        <w:t xml:space="preserve">7  Error analysis</w:t>
      </w:r>
      <w:bookmarkEnd w:id="7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False negatives (Spoiled → Not spoiled): 36; false positives: 6. The cost of a false negative (spoiled food judged acceptable) is higher, so Spoiled recall (0.894) is the key weakness.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Test errors per stratum.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891"/>
        <w:gridCol w:w="2120"/>
        <w:gridCol w:w="1349"/>
        <w:gridCol w:w="1349"/>
        <w:gridCol w:w="1929"/>
      </w:tblGrid>
      <w:tr>
        <w:trPr>
          <w:tblHeader/>
        </w:trPr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Produce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True label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Errors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Error rate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17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68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35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68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170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3.5%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102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27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26.5%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51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5.9%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20.6%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857500"/>
            <wp:effectExtent t="0" r="0" b="0" l="0"/>
            <wp:docPr id="5" name="xai_failure_fn.png" descr="Representative false negatives (Spoiled → Not spoiled) with attention rollout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5.</w:t>
      </w:r>
      <w:r>
        <w:rPr>
          <w:rFonts w:ascii="Calibri" w:cs="Calibri" w:eastAsia="Calibri" w:hAnsi="Calibri"/>
          <w:sz w:val="18"/>
          <w:szCs w:val="18"/>
        </w:rPr>
        <w:t xml:space="preserve"> Representative false negatives (Spoiled → Not spoiled) with attention rollout.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857500"/>
            <wp:effectExtent t="0" r="0" b="0" l="0"/>
            <wp:docPr id="6" name="xai_failure_fp.png" descr="Representative false positives (Not spoiled → Spoiled) with attention rollout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6.</w:t>
      </w:r>
      <w:r>
        <w:rPr>
          <w:rFonts w:ascii="Calibri" w:cs="Calibri" w:eastAsia="Calibri" w:hAnsi="Calibri"/>
          <w:sz w:val="18"/>
          <w:szCs w:val="18"/>
        </w:rPr>
        <w:t xml:space="preserve"> Representative false positives (Not spoiled → Spoiled) with attention rollout.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714625"/>
            <wp:effectExtent t="0" r="0" b="0" l="0"/>
            <wp:docPr id="7" name="primary_calibration.png" descr="Reliability diagram: errors are made with high confidence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7.</w:t>
      </w:r>
      <w:r>
        <w:rPr>
          <w:rFonts w:ascii="Calibri" w:cs="Calibri" w:eastAsia="Calibri" w:hAnsi="Calibri"/>
          <w:sz w:val="18"/>
          <w:szCs w:val="18"/>
        </w:rPr>
        <w:t xml:space="preserve"> Reliability diagram: errors are made with high confidence.</w:t>
      </w:r>
    </w:p>
    <w:p>
      <w:pPr>
        <w:pStyle w:val="Heading1"/>
      </w:pPr>
      <w:bookmarkStart w:name="_Toc8" w:id="8"/>
      <w:r>
        <w:t xml:space="preserve">8  Robustness</w:t>
      </w:r>
      <w:bookmarkEnd w:id="8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Robustness to image noise was measured on deterministic corruptions of the test split (Document C). Additional variation tests: horizontal flip and mild Gaussian noise (σ = 0.02) left the spoilage prediction unchanged for 97.3% and 96.7% of 150 test images, respectively.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1895475"/>
            <wp:effectExtent t="0" r="0" b="0" l="0"/>
            <wp:docPr id="8" name="noise_robustness.png" descr="Spoilage macro-F1 under Gaussian, salt-and-pepper and speckle noise.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8.</w:t>
      </w:r>
      <w:r>
        <w:rPr>
          <w:rFonts w:ascii="Calibri" w:cs="Calibri" w:eastAsia="Calibri" w:hAnsi="Calibri"/>
          <w:sz w:val="18"/>
          <w:szCs w:val="18"/>
        </w:rPr>
        <w:t xml:space="preserve"> Spoilage macro-F1 under Gaussian, salt-and-pepper and speckle noise.</w:t>
      </w:r>
    </w:p>
    <w:p>
      <w:pPr>
        <w:pStyle w:val="Heading1"/>
      </w:pPr>
      <w:bookmarkStart w:name="_Toc9" w:id="9"/>
      <w:r>
        <w:t xml:space="preserve">9  Comparison against baselines</w:t>
      </w:r>
      <w:bookmarkEnd w:id="9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Baselines vs deployed model (test spoilage).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Macro-F1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Majority class (Not spoiled)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0.406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0.683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0.500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Colour histogram + LogReg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0.828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0.857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0.885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Frozen ViT-B + LogReg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0.916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0.930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0.979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fine-tuned (deployed)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0.954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0.961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0.989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Majority-class values computed from test support (always predicting Not spoiled).</w:t>
      </w:r>
    </w:p>
    <w:p>
      <w:pPr>
        <w:pStyle w:val="Heading1"/>
      </w:pPr>
      <w:bookmarkStart w:name="_Toc10" w:id="10"/>
      <w:r>
        <w:t xml:space="preserve">10  Human visible-decay labels and the visible-decay check</w:t>
      </w:r>
      <w:bookmarkEnd w:id="10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A 180-image annotation round in Label Studio produced image-level human decisions (no polygons were drawn, so U-Net segmentation remains BLOCKED). 165 images received a definite decision. Agreement with the TR-6 folder label is 73.9%: Spoiled-labelled images showed visible decay in 72/109, Not-spoiled-labelled images in 6/56.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686050"/>
            <wp:effectExtent t="0" r="0" b="0" l="0"/>
            <wp:docPr id="9" name="human_vs_dataset_label.png" descr="Share of images judged to show visible decay by the human annotator, per produce and TR-6 folder label.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9.</w:t>
      </w:r>
      <w:r>
        <w:rPr>
          <w:rFonts w:ascii="Calibri" w:cs="Calibri" w:eastAsia="Calibri" w:hAnsi="Calibri"/>
          <w:sz w:val="18"/>
          <w:szCs w:val="18"/>
        </w:rPr>
        <w:t xml:space="preserve"> Share of images judged to show visible decay by the human annotator, per produce and TR-6 folder label.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Test agreement with human visible-decay labels (n = 29; probe C = 0.1 selected on validation).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433"/>
        <w:gridCol w:w="2120"/>
        <w:gridCol w:w="1349"/>
        <w:gridCol w:w="1736"/>
      </w:tblGrid>
      <w:tr>
        <w:trPr>
          <w:tblHeader/>
        </w:trPr>
        <w:tc>
          <w:tcPr>
            <w:tcW w:type="dxa" w:w="443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Predictor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Accuracy (95% Wilson CI)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Macro-F1</w:t>
            </w:r>
          </w:p>
        </w:tc>
        <w:tc>
          <w:tcPr>
            <w:tcW w:type="dxa" w:w="173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Visible-decay probe on deployed ViT embedding (served by the API)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0.931 (0.78–0.98)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0.931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0.986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Spoilage head used as a decay check (p ≥ 0.5)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0.897 (0.74–0.96)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0.895</w:t>
            </w:r>
          </w:p>
        </w:tc>
        <w:tc>
          <w:tcPr>
            <w:tcW w:type="dxa" w:w="173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0.881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artifacts/experiments/visible_decay/results.json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829175" cy="2143125"/>
            <wp:effectExtent t="0" r="0" b="0" l="0"/>
            <wp:docPr id="10" name="visible_decay_test_confusions.png" descr="Test confusion matrices against human visible-decay labels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10.</w:t>
      </w:r>
      <w:r>
        <w:rPr>
          <w:rFonts w:ascii="Calibri" w:cs="Calibri" w:eastAsia="Calibri" w:hAnsi="Calibri"/>
          <w:sz w:val="18"/>
          <w:szCs w:val="18"/>
        </w:rPr>
        <w:t xml:space="preserve"> Test confusion matrices against human visible-decay labels.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probe is trained on one annotator's judgements of 102 images; the test set is small and the intervals overlap, so it is an indicative, human-aligned check rather than a validated detector. It is shown in the UI as 'Visible decay check'.</w:t>
      </w:r>
    </w:p>
    <w:p>
      <w:pPr>
        <w:pStyle w:val="Heading1"/>
      </w:pPr>
      <w:bookmarkStart w:name="_Toc11" w:id="11"/>
      <w:r>
        <w:t xml:space="preserve">11  Pilot U-Net and proxy shelf-life</w:t>
      </w:r>
      <w:bookmarkEnd w:id="1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Three further components are served by </w:t>
      </w:r>
      <w:r>
        <w:rPr>
          <w:rFonts w:ascii="Consolas" w:cs="Consolas" w:eastAsia="Consolas" w:hAnsi="Consolas"/>
          <w:sz w:val="19"/>
          <w:szCs w:val="19"/>
        </w:rPr>
        <w:t xml:space="preserve">/api/analyze</w:t>
      </w:r>
      <w:r>
        <w:rPr>
          <w:rFonts w:ascii="Calibri" w:cs="Calibri" w:eastAsia="Calibri" w:hAnsi="Calibri"/>
        </w:rPr>
        <w:t xml:space="preserve"> alongside the ViT classifier. Each is labelled in the API and UI with what it was trained on.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Additional components: status, training data and held-out results.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927"/>
        <w:gridCol w:w="1060"/>
        <w:gridCol w:w="2409"/>
        <w:gridCol w:w="2602"/>
        <w:gridCol w:w="1640"/>
      </w:tblGrid>
      <w:tr>
        <w:trPr>
          <w:tblHeader/>
        </w:trPr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06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40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Training data</w:t>
            </w:r>
          </w:p>
        </w:tc>
        <w:tc>
          <w:tcPr>
            <w:tcW w:type="dxa" w:w="260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Held-out result</w:t>
            </w:r>
          </w:p>
        </w:tc>
        <w:tc>
          <w:tcPr>
            <w:tcW w:type="dxa" w:w="164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Caveat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Visible-decay check (logistic probe on ViT embedding)</w:t>
            </w:r>
          </w:p>
        </w:tc>
        <w:tc>
          <w:tcPr>
            <w:tcW w:type="dxa" w:w="1060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102 human image-level decisions (train split)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 n=29: accuracy 0.931 (95% CI 0.78–0.98), AUC 0.986</w:t>
            </w:r>
          </w:p>
        </w:tc>
        <w:tc>
          <w:tcPr>
            <w:tcW w:type="dxa" w:w="16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one annotator; small test set</w:t>
            </w:r>
          </w:p>
        </w:tc>
      </w:tr>
      <w:tr>
        <w:trPr>
          <w:cantSplit/>
        </w:trPr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U-Net segmentation (fruit + decay), ResNet-18 encoder</w:t>
            </w:r>
          </w:p>
        </w:tc>
        <w:tc>
          <w:tcPr>
            <w:tcW w:type="dxa" w:w="1060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102 MACHINE-GENERATED masks (colour/darkness heuristics, decay only on human-judged decay images)</w:t>
            </w:r>
          </w:p>
        </w:tc>
        <w:tc>
          <w:tcPr>
            <w:tcW w:type="dxa" w:w="26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n=63 val+test: fruit Dice 0.981, decay Dice 0.593 vs machine masks</w:t>
            </w:r>
          </w:p>
        </w:tc>
        <w:tc>
          <w:tcPr>
            <w:tcW w:type="dxa" w:w="164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PILOT — not human ground truth; human polygons still needed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Proxy shelf-life (ridge on ViT embedding)</w:t>
            </w:r>
          </w:p>
        </w:tc>
        <w:tc>
          <w:tcPr>
            <w:tcW w:type="dxa" w:w="1060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COMPLETE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3,177 train images; target = days until the series' first TR-6 'Spoiled' capture</w:t>
            </w:r>
          </w:p>
        </w:tc>
        <w:tc>
          <w:tcPr>
            <w:tcW w:type="dxa" w:w="26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test n=1071: MAE 4.29 d, RMSE 6.24 d, R² 0.888 (baseline MAE 9.95 d)</w:t>
            </w:r>
          </w:p>
        </w:tc>
        <w:tc>
          <w:tcPr>
            <w:tcW w:type="dxa" w:w="164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PROXY from date-based labels; not measured shelf life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19350"/>
            <wp:effectExtent t="0" r="0" b="0" l="0"/>
            <wp:docPr id="11" name="shelf_life_proxy.png" descr="Proxy shelf-life: predicted vs target days on the test split, and residuals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11.</w:t>
      </w:r>
      <w:r>
        <w:rPr>
          <w:rFonts w:ascii="Calibri" w:cs="Calibri" w:eastAsia="Calibri" w:hAnsi="Calibri"/>
          <w:sz w:val="18"/>
          <w:szCs w:val="18"/>
        </w:rPr>
        <w:t xml:space="preserve"> Proxy shelf-life: predicted vs target days on the test split, and residuals.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1371600"/>
            <wp:effectExtent t="0" r="0" b="0" l="0"/>
            <wp:docPr id="12" name="unet_auto_masks_preview.png" descr="Machine-generated training masks for the pilot U-Net (green fruit, orange dark/decay region). Not human ground truth.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12.</w:t>
      </w:r>
      <w:r>
        <w:rPr>
          <w:rFonts w:ascii="Calibri" w:cs="Calibri" w:eastAsia="Calibri" w:hAnsi="Calibri"/>
          <w:sz w:val="18"/>
          <w:szCs w:val="18"/>
        </w:rPr>
        <w:t xml:space="preserve"> Machine-generated training masks for the pilot U-Net (green fruit, orange dark/decay region). Not human ground truth.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162300"/>
            <wp:effectExtent t="0" r="0" b="0" l="0"/>
            <wp:docPr id="13" name="unet_pilot_overlays.png" descr="Pilot U-Net on held-out test images: input, machine-generated reference mask and U-Net prediction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13.</w:t>
      </w:r>
      <w:r>
        <w:rPr>
          <w:rFonts w:ascii="Calibri" w:cs="Calibri" w:eastAsia="Calibri" w:hAnsi="Calibri"/>
          <w:sz w:val="18"/>
          <w:szCs w:val="18"/>
        </w:rPr>
        <w:t xml:space="preserve"> Pilot U-Net on held-out test images: input, machine-generated reference mask and U-Net prediction.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U-Net demonstrates the complete segmentation pipeline (data → masks → training with BCE + Dice → API → UI overlay and decay-coverage %). Because its reference masks are machine-generated, its Dice/IoU measure agreement with those masks, not with human decay boundaries; decay Dice is also inflated by images with no decay (both masks empty count as perfect). A validated U-Net requires human-drawn polygons.</w:t>
      </w:r>
    </w:p>
    <w:p>
      <w:pPr>
        <w:pStyle w:val="Heading1"/>
      </w:pPr>
      <w:bookmarkStart w:name="_Toc12" w:id="12"/>
      <w:r>
        <w:t xml:space="preserve">12  Limitations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Specimen leakage: TR-6 has no specimen IDs; the same fruits appear in train and test. A day-grouped split lowers performance (Document 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Labels are date-based folder labels, not independent assessments of spoilage.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Lab images on plain backgrounds; real phone photos are untested; out-of-distribution inputs are always mapped to one of six classes (low-confidence warning below 0.60 is a heuristic).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Confidence is uncalibrated on errors; UI tier thresholds (0.5 / 0.3) are heuristics.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Single training seed for the deployed model.</w:t>
      </w:r>
    </w:p>
    <w:p>
      <w:pPr>
        <w:pStyle w:val="Heading1"/>
      </w:pPr>
      <w:bookmarkStart w:name="_Toc13" w:id="13"/>
      <w:r>
        <w:t xml:space="preserve">13  Reproducibility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Split: </w:t>
      </w:r>
      <w:r>
        <w:rPr>
          <w:rFonts w:ascii="Consolas" w:cs="Consolas" w:eastAsia="Consolas" w:hAnsi="Consolas"/>
          <w:sz w:val="19"/>
          <w:szCs w:val="19"/>
        </w:rPr>
        <w:t xml:space="preserve">python3 ml/data/make_splits.py --inventory dataset-preparation/tr6-audit/output_rerun_2026-10-15/file_inventory.csv --out artifacts/dataset/v1 --seed 42</w:t>
      </w:r>
      <w:r>
        <w:rPr>
          <w:rFonts w:ascii="Calibri" w:cs="Calibri" w:eastAsia="Calibri" w:hAnsi="Calibri"/>
        </w:rPr>
        <w:t xml:space="preserve"> (byte-identical on re-run)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Train: </w:t>
      </w:r>
      <w:r>
        <w:rPr>
          <w:rFonts w:ascii="Consolas" w:cs="Consolas" w:eastAsia="Consolas" w:hAnsi="Consolas"/>
          <w:sz w:val="19"/>
          <w:szCs w:val="19"/>
        </w:rPr>
        <w:t xml:space="preserve">.venv/bin/python ml/train/train_vit.py --run-id vit_b16_primary --epochs 12 --patience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Evaluate: </w:t>
      </w:r>
      <w:r>
        <w:rPr>
          <w:rFonts w:ascii="Consolas" w:cs="Consolas" w:eastAsia="Consolas" w:hAnsi="Consolas"/>
          <w:sz w:val="19"/>
          <w:szCs w:val="19"/>
        </w:rPr>
        <w:t xml:space="preserve">.venv/bin/python ml/evaluate/evaluate_vit.py --run artifacts/runs/vit_b16_primary --split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Environment: </w:t>
      </w:r>
      <w:r>
        <w:rPr>
          <w:rFonts w:ascii="Consolas" w:cs="Consolas" w:eastAsia="Consolas" w:hAnsi="Consolas"/>
          <w:sz w:val="19"/>
          <w:szCs w:val="19"/>
        </w:rPr>
        <w:t xml:space="preserve">ml/requirements.txt</w:t>
      </w:r>
      <w:r>
        <w:rPr>
          <w:rFonts w:ascii="Calibri" w:cs="Calibri" w:eastAsia="Calibri" w:hAnsi="Calibri"/>
        </w:rPr>
        <w:t xml:space="preserve"> (pinned versions).</w:t>
      </w:r>
    </w:p>
    <w:p>
      <w:pPr>
        <w:pStyle w:val="Heading1"/>
      </w:pPr>
      <w:bookmarkStart w:name="_Toc14" w:id="14"/>
      <w:r>
        <w:t xml:space="preserve">14  Deployment inference tests and verdict</w:t>
      </w:r>
      <w:bookmarkEnd w:id="14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checkpoint served by the backend is byte-identical to the evaluated run (SHA-256 49c40d4f65f94311…). Real-model tests R01–R04 pass, and the live end-to-end test analysed 60 held-out full-resolution originals over HTTP (produce 60/60, spoilage 57/60) with median latency 48 ms.</w:t>
      </w:r>
    </w:p>
    <w:p>
      <w:pPr>
        <w:pBdr>
          <w:left w:val="single" w:color="2F4A3D" w:sz="18" w:space="6"/>
        </w:pBdr>
        <w:shd w:fill="EAF1EC" w:color="auto" w:val="clear"/>
        <w:spacing w:after="140" w:before="80"/>
        <w:ind w:left="120" w:right="120"/>
      </w:pPr>
      <w:r>
        <w:rPr>
          <w:rFonts w:ascii="Calibri" w:cs="Calibri" w:eastAsia="Calibri" w:hAnsi="Calibri"/>
          <w:sz w:val="19"/>
          <w:szCs w:val="19"/>
        </w:rPr>
        <w:t xml:space="preserve">Verdict: the model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genuinely trained</w:t>
      </w:r>
      <w:r>
        <w:rPr>
          <w:rFonts w:ascii="Calibri" w:cs="Calibri" w:eastAsia="Calibri" w:hAnsi="Calibri"/>
          <w:sz w:val="19"/>
          <w:szCs w:val="19"/>
        </w:rPr>
        <w:t xml:space="preserve"> (logged 12-epoch run, validation-selected checkpoint, single held-out test evaluation)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usable in the application</w:t>
      </w:r>
      <w:r>
        <w:rPr>
          <w:rFonts w:ascii="Calibri" w:cs="Calibri" w:eastAsia="Calibri" w:hAnsi="Calibri"/>
          <w:sz w:val="19"/>
          <w:szCs w:val="19"/>
        </w:rPr>
        <w:t xml:space="preserve"> for its stated scope — single-item, six produce types, visual spoilage cues on TR-6-like images. It is not validated for real-world photos, food-safety decisions or shelf-life estimation.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AI model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c3556a887289b75ff1e2ba399f638d13d3d1a66.png"/><Relationship Id="rId10" Type="http://schemas.openxmlformats.org/officeDocument/2006/relationships/image" Target="media/11f8976fc70639fac5deed703adcf154481a19ce.png"/><Relationship Id="rId11" Type="http://schemas.openxmlformats.org/officeDocument/2006/relationships/image" Target="media/d63edcfa0fe54bfe2e9b47558b5db67e587b2135.png"/><Relationship Id="rId12" Type="http://schemas.openxmlformats.org/officeDocument/2006/relationships/image" Target="media/f94c5aa25dbfba5e245b0f421b89ff725d53ca4f.png"/><Relationship Id="rId13" Type="http://schemas.openxmlformats.org/officeDocument/2006/relationships/image" Target="media/04e53472ce4eb9458a89bae1850395018082792f.png"/><Relationship Id="rId14" Type="http://schemas.openxmlformats.org/officeDocument/2006/relationships/image" Target="media/200f2ac645789289a727000256f55b71e4a48602.png"/><Relationship Id="rId15" Type="http://schemas.openxmlformats.org/officeDocument/2006/relationships/image" Target="media/a335fda333ff64c25ced8e9ad1e802d705ad814a.png"/><Relationship Id="rId16" Type="http://schemas.openxmlformats.org/officeDocument/2006/relationships/image" Target="media/2cf324a0e99f70a07881ec636371ae968e9e22a5.png"/><Relationship Id="rId17" Type="http://schemas.openxmlformats.org/officeDocument/2006/relationships/image" Target="media/01d8edaa15e016d43705d0aafcb55b594a0c909c.png"/><Relationship Id="rId18" Type="http://schemas.openxmlformats.org/officeDocument/2006/relationships/image" Target="media/aaa088d557684e14099ebf5b2a14ffd9315034d6.png"/><Relationship Id="rId19" Type="http://schemas.openxmlformats.org/officeDocument/2006/relationships/image" Target="media/e308858696bafa8f9aa80c4fd80e41dd65ad1403.png"/><Relationship Id="rId20" Type="http://schemas.openxmlformats.org/officeDocument/2006/relationships/image" Target="media/60a935fdcceb84875782ef7e28aaa8f9d1835ab3.png"/><Relationship Id="rId21" Type="http://schemas.openxmlformats.org/officeDocument/2006/relationships/image" Target="media/ed1218a8a5e4345609eed7b4eb6248d7277f992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Model Testing and Evaluation Report</dc:title>
  <dc:creator>Foresight project</dc:creator>
  <dc:description>Problem definition, data, training, evaluation, robustness, limitations and deployment verification of the Foresight spoilage classifier.</dc:description>
  <cp:lastModifiedBy>Un-named</cp:lastModifiedBy>
  <cp:revision>1</cp:revision>
  <dcterms:created xsi:type="dcterms:W3CDTF">2026-10-17T08:04:31.200Z</dcterms:created>
  <dcterms:modified xsi:type="dcterms:W3CDTF">2026-10-17T08:04:31.201Z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