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40"/>
        <w:jc w:val="center"/>
      </w:pPr>
      <w:r>
        <w:rPr>
          <w:rFonts w:ascii="Calibri" w:hAnsi="Calibri"/>
          <w:b/>
          <w:i w:val="0"/>
          <w:color w:val="1A213E"/>
          <w:sz w:val="60"/>
        </w:rPr>
        <w:t>CustomerPulse AI</w:t>
      </w:r>
    </w:p>
    <w:p>
      <w:pPr>
        <w:spacing w:before="0" w:after="120"/>
        <w:jc w:val="center"/>
      </w:pPr>
      <w:r>
        <w:rPr>
          <w:rFonts w:ascii="Calibri" w:hAnsi="Calibri"/>
          <w:b w:val="0"/>
          <w:i w:val="0"/>
          <w:color w:val="3B82D4"/>
          <w:sz w:val="28"/>
        </w:rPr>
        <w:t>Automated Customer Churn Prediction &amp; Retention Analytics Platform</w:t>
      </w:r>
    </w:p>
    <w:p>
      <w:pPr>
        <w:spacing w:before="0" w:after="80"/>
        <w:jc w:val="center"/>
      </w:pPr>
      <w:r>
        <w:rPr>
          <w:rFonts w:ascii="Calibri" w:hAnsi="Calibri"/>
          <w:b w:val="0"/>
          <w:i/>
          <w:color w:val="57606A"/>
          <w:sz w:val="24"/>
        </w:rPr>
        <w:t>Project Technical Report</w:t>
      </w:r>
    </w:p>
    <w:p>
      <w:pPr>
        <w:spacing w:before="120" w:after="120"/>
        <w:jc w:val="center"/>
      </w:pPr>
      <w:r>
        <w:rPr>
          <w:rFonts w:ascii="Calibri" w:hAnsi="Calibri"/>
          <w:b w:val="0"/>
          <w:i w:val="0"/>
          <w:color w:val="B4B4B4"/>
          <w:sz w:val="20"/>
        </w:rPr>
        <w:t>───────────────────────────────────────────────────────</w:t>
      </w:r>
    </w:p>
    <w:p>
      <w:pPr>
        <w:spacing w:before="0" w:after="40"/>
        <w:jc w:val="center"/>
      </w:pPr>
      <w:r>
        <w:rPr>
          <w:rFonts w:ascii="Calibri" w:hAnsi="Calibri"/>
          <w:b/>
          <w:i w:val="0"/>
          <w:color w:val="323250"/>
          <w:sz w:val="21"/>
        </w:rPr>
        <w:t xml:space="preserve">Dataset:  </w:t>
      </w:r>
      <w:r>
        <w:rPr>
          <w:rFonts w:ascii="Calibri" w:hAnsi="Calibri"/>
          <w:b w:val="0"/>
          <w:i w:val="0"/>
          <w:color w:val="57606A"/>
          <w:sz w:val="21"/>
        </w:rPr>
        <w:t>UCI Online Retail  ·  541,909 transactions  ·  4,334 unique customers</w:t>
      </w:r>
    </w:p>
    <w:p>
      <w:pPr>
        <w:spacing w:before="0" w:after="40"/>
        <w:jc w:val="center"/>
      </w:pPr>
      <w:r>
        <w:rPr>
          <w:rFonts w:ascii="Calibri" w:hAnsi="Calibri"/>
          <w:b/>
          <w:i w:val="0"/>
          <w:color w:val="323250"/>
          <w:sz w:val="21"/>
        </w:rPr>
        <w:t xml:space="preserve">Period:  </w:t>
      </w:r>
      <w:r>
        <w:rPr>
          <w:rFonts w:ascii="Calibri" w:hAnsi="Calibri"/>
          <w:b w:val="0"/>
          <w:i w:val="0"/>
          <w:color w:val="57606A"/>
          <w:sz w:val="21"/>
        </w:rPr>
        <w:t>December 2010 – December 2011</w:t>
      </w:r>
    </w:p>
    <w:p>
      <w:pPr>
        <w:spacing w:before="0" w:after="40"/>
        <w:jc w:val="center"/>
      </w:pPr>
      <w:r>
        <w:rPr>
          <w:rFonts w:ascii="Calibri" w:hAnsi="Calibri"/>
          <w:b/>
          <w:i w:val="0"/>
          <w:color w:val="323250"/>
          <w:sz w:val="21"/>
        </w:rPr>
        <w:t xml:space="preserve">Best Model:  </w:t>
      </w:r>
      <w:r>
        <w:rPr>
          <w:rFonts w:ascii="Calibri" w:hAnsi="Calibri"/>
          <w:b w:val="0"/>
          <w:i w:val="0"/>
          <w:color w:val="57606A"/>
          <w:sz w:val="21"/>
        </w:rPr>
        <w:t>Logistic Regression  ·  CV ROC-AUC = 0.748  ·  Test ROC-AUC = 0.737</w:t>
      </w:r>
    </w:p>
    <w:p>
      <w:pPr>
        <w:spacing w:before="0" w:after="40"/>
        <w:jc w:val="center"/>
      </w:pPr>
      <w:r>
        <w:rPr>
          <w:rFonts w:ascii="Calibri" w:hAnsi="Calibri"/>
          <w:b/>
          <w:i w:val="0"/>
          <w:color w:val="323250"/>
          <w:sz w:val="21"/>
        </w:rPr>
        <w:t xml:space="preserve">Tech Stack:  </w:t>
      </w:r>
      <w:r>
        <w:rPr>
          <w:rFonts w:ascii="Calibri" w:hAnsi="Calibri"/>
          <w:b w:val="0"/>
          <w:i w:val="0"/>
          <w:color w:val="57606A"/>
          <w:sz w:val="21"/>
        </w:rPr>
        <w:t>Python · Streamlit · scikit-learn · pandas · NumPy · matplotlib · seaborn · SHAP</w:t>
      </w:r>
    </w:p>
    <w:p>
      <w:r>
        <w:br w:type="page"/>
      </w:r>
    </w:p>
    <w:p>
      <w:pPr>
        <w:pStyle w:val="Heading1"/>
        <w:spacing w:before="200" w:after="60"/>
      </w:pPr>
      <w:r>
        <w:rPr>
          <w:rFonts w:ascii="Calibri" w:hAnsi="Calibri"/>
          <w:color w:val="1A1A2E"/>
          <w:sz w:val="28"/>
        </w:rPr>
        <w:t>1. Abstract</w:t>
      </w:r>
    </w:p>
    <w:p>
      <w:pPr>
        <w:spacing w:before="0" w:after="120"/>
        <w:jc w:val="both"/>
      </w:pPr>
      <w:r>
        <w:rPr>
          <w:rFonts w:ascii="Calibri" w:hAnsi="Calibri"/>
          <w:b w:val="0"/>
          <w:i w:val="0"/>
          <w:sz w:val="22"/>
        </w:rPr>
        <w:t>CustomerPulse AI is an end-to-end automated analytics platform built with Python and Streamlit that transforms raw retail transaction records into actionable customer churn risk intelligence. Starting from the UCI Online Retail dataset (541,909 transactions, December 2010 – December 2011), the platform automatically cleans the data, engineers 18 customer-level behavioural features (RFM components, purchase gap statistics, return behaviour, and last-90-day activity), assigns a temporal churn label, and trains four classifiers — Logistic Regression, Random Forest, HistGradientBoosting, and K-Nearest Neighbours. The best model is selected by 5-fold cross-validated ROC-AUC. Logistic Regression achieved CV ROC-AUC = 0.748 and Test ROC-AUC = 0.737. Of the 3,601 modellable customers, 48.7% are labelled churned. Each customer receives a probability score and a HIGH / MEDIUM / LOW risk classification. Predictions are explained via SHAP values. Results are surfaced through an interactive multi-page Streamlit app.</w:t>
      </w:r>
    </w:p>
    <w:p>
      <w:pPr>
        <w:pStyle w:val="Heading1"/>
        <w:spacing w:before="200" w:after="60"/>
      </w:pPr>
      <w:r>
        <w:rPr>
          <w:rFonts w:ascii="Calibri" w:hAnsi="Calibri"/>
          <w:color w:val="1A1A2E"/>
          <w:sz w:val="28"/>
        </w:rPr>
        <w:t>2. Introduction &amp; Objectives</w:t>
      </w:r>
    </w:p>
    <w:p>
      <w:pPr>
        <w:spacing w:before="0" w:after="80"/>
        <w:jc w:val="both"/>
      </w:pPr>
      <w:r>
        <w:rPr>
          <w:rFonts w:ascii="Calibri" w:hAnsi="Calibri"/>
          <w:b w:val="0"/>
          <w:i w:val="0"/>
          <w:sz w:val="22"/>
        </w:rPr>
        <w:t>Customer churn — a customer ceasing to transact with a business — is one of the most commercially significant risks in retail. Acquiring a new customer typically costs five to seven times more than retaining an existing one. Early detection of at-risk customers enables targeted retention interventions (personalised promotions, win-back campaigns) that reduce revenue leakage.</w:t>
      </w:r>
    </w:p>
    <w:p>
      <w:pPr>
        <w:spacing w:before="0" w:after="80"/>
        <w:jc w:val="both"/>
      </w:pPr>
      <w:r>
        <w:rPr>
          <w:rFonts w:ascii="Calibri" w:hAnsi="Calibri"/>
          <w:b w:val="0"/>
          <w:i w:val="0"/>
          <w:sz w:val="22"/>
        </w:rPr>
        <w:t>CustomerPulse AI addresses this by providing a fully automated, data-driven pipeline that converts raw transaction records into a ranked list of customers by estimated churn probability, deployable as a single-command Streamlit application.</w:t>
      </w:r>
    </w:p>
    <w:p>
      <w:pPr>
        <w:pStyle w:val="Heading2"/>
        <w:spacing w:before="120" w:after="60"/>
      </w:pPr>
      <w:r>
        <w:rPr>
          <w:rFonts w:ascii="Calibri" w:hAnsi="Calibri"/>
          <w:color w:val="16213E"/>
          <w:sz w:val="24"/>
        </w:rPr>
        <w:t>Objectives</w:t>
      </w:r>
    </w:p>
    <w:p>
      <w:pPr>
        <w:pStyle w:val="ListBullet"/>
        <w:spacing w:before="0" w:after="40"/>
      </w:pPr>
      <w:r>
        <w:rPr>
          <w:rFonts w:ascii="Calibri" w:hAnsi="Calibri"/>
          <w:b w:val="0"/>
          <w:i w:val="0"/>
          <w:sz w:val="21"/>
        </w:rPr>
        <w:t>Automate the complete cleaning, feature engineering, and modelling pipeline.</w:t>
      </w:r>
    </w:p>
    <w:p>
      <w:pPr>
        <w:pStyle w:val="ListBullet"/>
        <w:spacing w:before="0" w:after="40"/>
      </w:pPr>
      <w:r>
        <w:rPr>
          <w:rFonts w:ascii="Calibri" w:hAnsi="Calibri"/>
          <w:b w:val="0"/>
          <w:i w:val="0"/>
          <w:sz w:val="21"/>
        </w:rPr>
        <w:t>Engineer 18 interpretable, business-relevant customer-level features.</w:t>
      </w:r>
    </w:p>
    <w:p>
      <w:pPr>
        <w:pStyle w:val="ListBullet"/>
        <w:spacing w:before="0" w:after="40"/>
      </w:pPr>
      <w:r>
        <w:rPr>
          <w:rFonts w:ascii="Calibri" w:hAnsi="Calibri"/>
          <w:b w:val="0"/>
          <w:i w:val="0"/>
          <w:sz w:val="21"/>
        </w:rPr>
        <w:t>Train and compare four ML classifiers on a near-balanced churn dataset.</w:t>
      </w:r>
    </w:p>
    <w:p>
      <w:pPr>
        <w:pStyle w:val="ListBullet"/>
        <w:spacing w:before="0" w:after="40"/>
      </w:pPr>
      <w:r>
        <w:rPr>
          <w:rFonts w:ascii="Calibri" w:hAnsi="Calibri"/>
          <w:b w:val="0"/>
          <w:i w:val="0"/>
          <w:sz w:val="21"/>
        </w:rPr>
        <w:t>Produce per-customer churn probability scores and HIGH / MEDIUM / LOW risk tiers.</w:t>
      </w:r>
    </w:p>
    <w:p>
      <w:pPr>
        <w:pStyle w:val="ListBullet"/>
        <w:spacing w:before="0" w:after="40"/>
      </w:pPr>
      <w:r>
        <w:rPr>
          <w:rFonts w:ascii="Calibri" w:hAnsi="Calibri"/>
          <w:b w:val="0"/>
          <w:i w:val="0"/>
          <w:sz w:val="21"/>
        </w:rPr>
        <w:t>Explain predictions via SHAP values for model transparency.</w:t>
      </w:r>
    </w:p>
    <w:p>
      <w:pPr>
        <w:pStyle w:val="ListBullet"/>
        <w:spacing w:before="0" w:after="40"/>
      </w:pPr>
      <w:r>
        <w:rPr>
          <w:rFonts w:ascii="Calibri" w:hAnsi="Calibri"/>
          <w:b w:val="0"/>
          <w:i w:val="0"/>
          <w:sz w:val="21"/>
        </w:rPr>
        <w:t>Deliver results through an interactive Streamlit web application.</w:t>
      </w:r>
    </w:p>
    <w:p>
      <w:pPr>
        <w:pStyle w:val="Heading1"/>
        <w:spacing w:before="200" w:after="60"/>
      </w:pPr>
      <w:r>
        <w:rPr>
          <w:rFonts w:ascii="Calibri" w:hAnsi="Calibri"/>
          <w:color w:val="1A1A2E"/>
          <w:sz w:val="28"/>
        </w:rPr>
        <w:t>3. Dataset &amp; Preprocessing</w:t>
      </w:r>
    </w:p>
    <w:p>
      <w:pPr>
        <w:spacing w:before="0" w:after="80"/>
        <w:jc w:val="both"/>
      </w:pPr>
      <w:r>
        <w:rPr>
          <w:rFonts w:ascii="Calibri" w:hAnsi="Calibri"/>
          <w:b w:val="0"/>
          <w:i w:val="0"/>
          <w:sz w:val="22"/>
        </w:rPr>
        <w:t>The project uses the UCI Online Retail dataset — a public, widely-studied transactional dataset from a UK-based online retailer. Each row is a single line item on an invoice, covering 1 December 2010 to 9 December 2011.</w:t>
      </w:r>
    </w:p>
    <w:p>
      <w:pPr>
        <w:pStyle w:val="Heading2"/>
        <w:spacing w:before="120" w:after="60"/>
      </w:pPr>
      <w:r>
        <w:rPr>
          <w:rFonts w:ascii="Calibri" w:hAnsi="Calibri"/>
          <w:color w:val="16213E"/>
          <w:sz w:val="24"/>
        </w:rPr>
        <w:t>3.1  Dataset Schema</w:t>
      </w:r>
    </w:p>
    <w:tbl>
      <w:tblPr>
        <w:tblStyle w:val="TableGrid"/>
        <w:tblW w:type="auto" w:w="0"/>
        <w:jc w:val="center"/>
        <w:tblLook w:firstColumn="1" w:firstRow="1" w:lastColumn="0" w:lastRow="0" w:noHBand="0" w:noVBand="1" w:val="04A0"/>
      </w:tblPr>
      <w:tblGrid>
        <w:gridCol w:w="3137"/>
        <w:gridCol w:w="3137"/>
        <w:gridCol w:w="3137"/>
      </w:tblGrid>
      <w:tr>
        <w:tc>
          <w:tcPr>
            <w:tcW w:type="dxa" w:w="2016"/>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Column</w:t>
            </w:r>
          </w:p>
        </w:tc>
        <w:tc>
          <w:tcPr>
            <w:tcW w:type="dxa" w:w="1440"/>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Type</w:t>
            </w:r>
          </w:p>
        </w:tc>
        <w:tc>
          <w:tcPr>
            <w:tcW w:type="dxa" w:w="5904"/>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Description</w:t>
            </w:r>
          </w:p>
        </w:tc>
      </w:tr>
      <w:tr>
        <w:tc>
          <w:tcPr>
            <w:tcW w:type="dxa" w:w="2016"/>
          </w:tcPr>
          <w:p/>
        </w:tc>
        <w:tc>
          <w:tcPr>
            <w:tcW w:type="dxa" w:w="1440"/>
          </w:tcPr>
          <w:p/>
        </w:tc>
        <w:tc>
          <w:tcPr>
            <w:tcW w:type="dxa" w:w="5904"/>
          </w:tcPr>
          <w:p/>
        </w:tc>
      </w:tr>
      <w:tr>
        <w:tc>
          <w:tcPr>
            <w:tcW w:type="dxa" w:w="2016"/>
          </w:tcPr>
          <w:p/>
        </w:tc>
        <w:tc>
          <w:tcPr>
            <w:tcW w:type="dxa" w:w="1440"/>
          </w:tcPr>
          <w:p/>
        </w:tc>
        <w:tc>
          <w:tcPr>
            <w:tcW w:type="dxa" w:w="5904"/>
          </w:tcPr>
          <w:p/>
        </w:tc>
      </w:tr>
      <w:tr>
        <w:tc>
          <w:tcPr>
            <w:tcW w:type="dxa" w:w="2016"/>
          </w:tcPr>
          <w:p/>
        </w:tc>
        <w:tc>
          <w:tcPr>
            <w:tcW w:type="dxa" w:w="1440"/>
          </w:tcPr>
          <w:p/>
        </w:tc>
        <w:tc>
          <w:tcPr>
            <w:tcW w:type="dxa" w:w="5904"/>
          </w:tcPr>
          <w:p/>
        </w:tc>
      </w:tr>
      <w:tr>
        <w:tc>
          <w:tcPr>
            <w:tcW w:type="dxa" w:w="2016"/>
          </w:tcPr>
          <w:p/>
        </w:tc>
        <w:tc>
          <w:tcPr>
            <w:tcW w:type="dxa" w:w="1440"/>
          </w:tcPr>
          <w:p/>
        </w:tc>
        <w:tc>
          <w:tcPr>
            <w:tcW w:type="dxa" w:w="5904"/>
          </w:tcPr>
          <w:p/>
        </w:tc>
      </w:tr>
      <w:tr>
        <w:tc>
          <w:tcPr>
            <w:tcW w:type="dxa" w:w="2016"/>
          </w:tcPr>
          <w:p/>
        </w:tc>
        <w:tc>
          <w:tcPr>
            <w:tcW w:type="dxa" w:w="1440"/>
          </w:tcPr>
          <w:p/>
        </w:tc>
        <w:tc>
          <w:tcPr>
            <w:tcW w:type="dxa" w:w="5904"/>
          </w:tcPr>
          <w:p/>
        </w:tc>
      </w:tr>
      <w:tr>
        <w:tc>
          <w:tcPr>
            <w:tcW w:type="dxa" w:w="2016"/>
          </w:tcPr>
          <w:p/>
        </w:tc>
        <w:tc>
          <w:tcPr>
            <w:tcW w:type="dxa" w:w="1440"/>
          </w:tcPr>
          <w:p/>
        </w:tc>
        <w:tc>
          <w:tcPr>
            <w:tcW w:type="dxa" w:w="5904"/>
          </w:tcPr>
          <w:p/>
        </w:tc>
      </w:tr>
      <w:tr>
        <w:tc>
          <w:tcPr>
            <w:tcW w:type="dxa" w:w="2016"/>
          </w:tcPr>
          <w:p/>
        </w:tc>
        <w:tc>
          <w:tcPr>
            <w:tcW w:type="dxa" w:w="1440"/>
          </w:tcPr>
          <w:p/>
        </w:tc>
        <w:tc>
          <w:tcPr>
            <w:tcW w:type="dxa" w:w="5904"/>
          </w:tcPr>
          <w:p/>
        </w:tc>
      </w:tr>
      <w:tr>
        <w:tc>
          <w:tcPr>
            <w:tcW w:type="dxa" w:w="2016"/>
          </w:tcPr>
          <w:p/>
        </w:tc>
        <w:tc>
          <w:tcPr>
            <w:tcW w:type="dxa" w:w="1440"/>
          </w:tcPr>
          <w:p/>
        </w:tc>
        <w:tc>
          <w:tcPr>
            <w:tcW w:type="dxa" w:w="5904"/>
          </w:tcPr>
          <w:p/>
        </w:tc>
      </w:tr>
      <w:tr>
        <w:tc>
          <w:tcPr>
            <w:tcW w:type="dxa" w:w="201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InvoiceNo</w:t>
            </w:r>
          </w:p>
        </w:tc>
        <w:tc>
          <w:tcPr>
            <w:tcW w:type="dxa" w:w="144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String</w:t>
            </w:r>
          </w:p>
        </w:tc>
        <w:tc>
          <w:tcPr>
            <w:tcW w:type="dxa" w:w="5904"/>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Invoice ID; prefix C = cancellation, A = adjustment</w:t>
            </w:r>
          </w:p>
        </w:tc>
      </w:tr>
      <w:tr>
        <w:tc>
          <w:tcPr>
            <w:tcW w:type="dxa" w:w="201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StockCode</w:t>
            </w:r>
          </w:p>
        </w:tc>
        <w:tc>
          <w:tcPr>
            <w:tcW w:type="dxa" w:w="1440"/>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String</w:t>
            </w:r>
          </w:p>
        </w:tc>
        <w:tc>
          <w:tcPr>
            <w:tcW w:type="dxa" w:w="5904"/>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Product identifier</w:t>
            </w:r>
          </w:p>
        </w:tc>
      </w:tr>
      <w:tr>
        <w:tc>
          <w:tcPr>
            <w:tcW w:type="dxa" w:w="201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Description</w:t>
            </w:r>
          </w:p>
        </w:tc>
        <w:tc>
          <w:tcPr>
            <w:tcW w:type="dxa" w:w="144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String</w:t>
            </w:r>
          </w:p>
        </w:tc>
        <w:tc>
          <w:tcPr>
            <w:tcW w:type="dxa" w:w="5904"/>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Product name (free text)</w:t>
            </w:r>
          </w:p>
        </w:tc>
      </w:tr>
      <w:tr>
        <w:tc>
          <w:tcPr>
            <w:tcW w:type="dxa" w:w="201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Quantity</w:t>
            </w:r>
          </w:p>
        </w:tc>
        <w:tc>
          <w:tcPr>
            <w:tcW w:type="dxa" w:w="1440"/>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Integer</w:t>
            </w:r>
          </w:p>
        </w:tc>
        <w:tc>
          <w:tcPr>
            <w:tcW w:type="dxa" w:w="5904"/>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Units per line item (negative for returns)</w:t>
            </w:r>
          </w:p>
        </w:tc>
      </w:tr>
      <w:tr>
        <w:tc>
          <w:tcPr>
            <w:tcW w:type="dxa" w:w="201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InvoiceDate</w:t>
            </w:r>
          </w:p>
        </w:tc>
        <w:tc>
          <w:tcPr>
            <w:tcW w:type="dxa" w:w="144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Datetime</w:t>
            </w:r>
          </w:p>
        </w:tc>
        <w:tc>
          <w:tcPr>
            <w:tcW w:type="dxa" w:w="5904"/>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Invoice timestamp</w:t>
            </w:r>
          </w:p>
        </w:tc>
      </w:tr>
      <w:tr>
        <w:tc>
          <w:tcPr>
            <w:tcW w:type="dxa" w:w="201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UnitPrice</w:t>
            </w:r>
          </w:p>
        </w:tc>
        <w:tc>
          <w:tcPr>
            <w:tcW w:type="dxa" w:w="1440"/>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Float</w:t>
            </w:r>
          </w:p>
        </w:tc>
        <w:tc>
          <w:tcPr>
            <w:tcW w:type="dxa" w:w="5904"/>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Price per unit (£)</w:t>
            </w:r>
          </w:p>
        </w:tc>
      </w:tr>
      <w:tr>
        <w:tc>
          <w:tcPr>
            <w:tcW w:type="dxa" w:w="201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CustomerID</w:t>
            </w:r>
          </w:p>
        </w:tc>
        <w:tc>
          <w:tcPr>
            <w:tcW w:type="dxa" w:w="144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Float</w:t>
            </w:r>
          </w:p>
        </w:tc>
        <w:tc>
          <w:tcPr>
            <w:tcW w:type="dxa" w:w="5904"/>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Unique customer ID (~25% missing in raw data)</w:t>
            </w:r>
          </w:p>
        </w:tc>
      </w:tr>
      <w:tr>
        <w:tc>
          <w:tcPr>
            <w:tcW w:type="dxa" w:w="201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Country</w:t>
            </w:r>
          </w:p>
        </w:tc>
        <w:tc>
          <w:tcPr>
            <w:tcW w:type="dxa" w:w="1440"/>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String</w:t>
            </w:r>
          </w:p>
        </w:tc>
        <w:tc>
          <w:tcPr>
            <w:tcW w:type="dxa" w:w="5904"/>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Customer's billing country</w:t>
            </w:r>
          </w:p>
        </w:tc>
      </w:tr>
    </w:tbl>
    <w:p>
      <w:pPr>
        <w:spacing w:before="0" w:after="80"/>
      </w:pPr>
    </w:p>
    <w:p>
      <w:pPr>
        <w:pStyle w:val="Heading2"/>
        <w:spacing w:before="120" w:after="60"/>
      </w:pPr>
      <w:r>
        <w:rPr>
          <w:rFonts w:ascii="Calibri" w:hAnsi="Calibri"/>
          <w:color w:val="16213E"/>
          <w:sz w:val="24"/>
        </w:rPr>
        <w:t>3.2  Raw Data Statistics</w:t>
      </w:r>
    </w:p>
    <w:tbl>
      <w:tblPr>
        <w:tblStyle w:val="TableGrid"/>
        <w:tblW w:type="auto" w:w="0"/>
        <w:jc w:val="center"/>
        <w:tblLook w:firstColumn="1" w:firstRow="1" w:lastColumn="0" w:lastRow="0" w:noHBand="0" w:noVBand="1" w:val="04A0"/>
      </w:tblPr>
      <w:tblGrid>
        <w:gridCol w:w="4706"/>
        <w:gridCol w:w="4706"/>
      </w:tblGrid>
      <w:tr>
        <w:tc>
          <w:tcPr>
            <w:tcW w:type="dxa" w:w="4608"/>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Metric</w:t>
            </w:r>
          </w:p>
        </w:tc>
        <w:tc>
          <w:tcPr>
            <w:tcW w:type="dxa" w:w="4752"/>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Value</w:t>
            </w:r>
          </w:p>
        </w:tc>
      </w:tr>
      <w:tr>
        <w:tc>
          <w:tcPr>
            <w:tcW w:type="dxa" w:w="4608"/>
          </w:tcPr>
          <w:p/>
        </w:tc>
        <w:tc>
          <w:tcPr>
            <w:tcW w:type="dxa" w:w="4752"/>
          </w:tcPr>
          <w:p/>
        </w:tc>
      </w:tr>
      <w:tr>
        <w:tc>
          <w:tcPr>
            <w:tcW w:type="dxa" w:w="4608"/>
          </w:tcPr>
          <w:p/>
        </w:tc>
        <w:tc>
          <w:tcPr>
            <w:tcW w:type="dxa" w:w="4752"/>
          </w:tcPr>
          <w:p/>
        </w:tc>
      </w:tr>
      <w:tr>
        <w:tc>
          <w:tcPr>
            <w:tcW w:type="dxa" w:w="4608"/>
          </w:tcPr>
          <w:p/>
        </w:tc>
        <w:tc>
          <w:tcPr>
            <w:tcW w:type="dxa" w:w="4752"/>
          </w:tcPr>
          <w:p/>
        </w:tc>
      </w:tr>
      <w:tr>
        <w:tc>
          <w:tcPr>
            <w:tcW w:type="dxa" w:w="4608"/>
          </w:tcPr>
          <w:p/>
        </w:tc>
        <w:tc>
          <w:tcPr>
            <w:tcW w:type="dxa" w:w="4752"/>
          </w:tcPr>
          <w:p/>
        </w:tc>
      </w:tr>
      <w:tr>
        <w:tc>
          <w:tcPr>
            <w:tcW w:type="dxa" w:w="4608"/>
          </w:tcPr>
          <w:p/>
        </w:tc>
        <w:tc>
          <w:tcPr>
            <w:tcW w:type="dxa" w:w="4752"/>
          </w:tcPr>
          <w:p/>
        </w:tc>
      </w:tr>
      <w:tr>
        <w:tc>
          <w:tcPr>
            <w:tcW w:type="dxa" w:w="460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Total raw rows</w:t>
            </w:r>
          </w:p>
        </w:tc>
        <w:tc>
          <w:tcPr>
            <w:tcW w:type="dxa" w:w="475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541,909</w:t>
            </w:r>
          </w:p>
        </w:tc>
      </w:tr>
      <w:tr>
        <w:tc>
          <w:tcPr>
            <w:tcW w:type="dxa" w:w="460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Date range</w:t>
            </w:r>
          </w:p>
        </w:tc>
        <w:tc>
          <w:tcPr>
            <w:tcW w:type="dxa" w:w="475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2010-12-01  to  2011-12-09</w:t>
            </w:r>
          </w:p>
        </w:tc>
      </w:tr>
      <w:tr>
        <w:tc>
          <w:tcPr>
            <w:tcW w:type="dxa" w:w="460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Unique countries</w:t>
            </w:r>
          </w:p>
        </w:tc>
        <w:tc>
          <w:tcPr>
            <w:tcW w:type="dxa" w:w="475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38</w:t>
            </w:r>
          </w:p>
        </w:tc>
      </w:tr>
      <w:tr>
        <w:tc>
          <w:tcPr>
            <w:tcW w:type="dxa" w:w="460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Rows missing CustomerID</w:t>
            </w:r>
          </w:p>
        </w:tc>
        <w:tc>
          <w:tcPr>
            <w:tcW w:type="dxa" w:w="475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135,037  (~24.9 %)</w:t>
            </w:r>
          </w:p>
        </w:tc>
      </w:tr>
      <w:tr>
        <w:tc>
          <w:tcPr>
            <w:tcW w:type="dxa" w:w="460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Cancellation invoices (C-prefix)</w:t>
            </w:r>
          </w:p>
        </w:tc>
        <w:tc>
          <w:tcPr>
            <w:tcW w:type="dxa" w:w="475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8,872</w:t>
            </w:r>
          </w:p>
        </w:tc>
      </w:tr>
    </w:tbl>
    <w:p>
      <w:pPr>
        <w:spacing w:before="0" w:after="80"/>
      </w:pPr>
    </w:p>
    <w:p>
      <w:pPr>
        <w:pStyle w:val="Heading2"/>
        <w:spacing w:before="120" w:after="60"/>
      </w:pPr>
      <w:r>
        <w:rPr>
          <w:rFonts w:ascii="Calibri" w:hAnsi="Calibri"/>
          <w:color w:val="16213E"/>
          <w:sz w:val="24"/>
        </w:rPr>
        <w:t>3.3  Automated 13-Step Cleaning Pipeline</w:t>
      </w:r>
    </w:p>
    <w:p>
      <w:pPr>
        <w:spacing w:before="0" w:after="60"/>
        <w:jc w:val="both"/>
      </w:pPr>
      <w:r>
        <w:rPr>
          <w:rFonts w:ascii="Calibri" w:hAnsi="Calibri"/>
          <w:b w:val="0"/>
          <w:i w:val="0"/>
          <w:sz w:val="21"/>
        </w:rPr>
        <w:t>The `clean_data()` function applies the following sequential steps automatically on every upload:</w:t>
      </w:r>
    </w:p>
    <w:tbl>
      <w:tblPr>
        <w:tblStyle w:val="TableGrid"/>
        <w:tblW w:type="auto" w:w="0"/>
        <w:jc w:val="center"/>
        <w:tblLook w:firstColumn="1" w:firstRow="1" w:lastColumn="0" w:lastRow="0" w:noHBand="0" w:noVBand="1" w:val="04A0"/>
      </w:tblPr>
      <w:tblGrid>
        <w:gridCol w:w="3137"/>
        <w:gridCol w:w="3137"/>
        <w:gridCol w:w="3137"/>
      </w:tblGrid>
      <w:tr>
        <w:tc>
          <w:tcPr>
            <w:tcW w:type="dxa" w:w="648"/>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Step</w:t>
            </w:r>
          </w:p>
        </w:tc>
        <w:tc>
          <w:tcPr>
            <w:tcW w:type="dxa" w:w="5616"/>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Operation</w:t>
            </w:r>
          </w:p>
        </w:tc>
        <w:tc>
          <w:tcPr>
            <w:tcW w:type="dxa" w:w="3096"/>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Rows Affected</w:t>
            </w: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tcPr>
          <w:p/>
        </w:tc>
        <w:tc>
          <w:tcPr>
            <w:tcW w:type="dxa" w:w="5616"/>
          </w:tcPr>
          <w:p/>
        </w:tc>
        <w:tc>
          <w:tcPr>
            <w:tcW w:type="dxa" w:w="3096"/>
          </w:tcPr>
          <w:p/>
        </w:tc>
      </w:tr>
      <w:tr>
        <w:tc>
          <w:tcPr>
            <w:tcW w:type="dxa" w:w="64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1</w:t>
            </w:r>
          </w:p>
        </w:tc>
        <w:tc>
          <w:tcPr>
            <w:tcW w:type="dxa" w:w="561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Drop exact duplicate rows</w:t>
            </w:r>
          </w:p>
        </w:tc>
        <w:tc>
          <w:tcPr>
            <w:tcW w:type="dxa" w:w="309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5,268</w:t>
            </w:r>
          </w:p>
        </w:tc>
      </w:tr>
      <w:tr>
        <w:tc>
          <w:tcPr>
            <w:tcW w:type="dxa" w:w="64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2</w:t>
            </w:r>
          </w:p>
        </w:tc>
        <w:tc>
          <w:tcPr>
            <w:tcW w:type="dxa" w:w="561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Drop rows with missing CustomerID</w:t>
            </w:r>
          </w:p>
        </w:tc>
        <w:tc>
          <w:tcPr>
            <w:tcW w:type="dxa" w:w="309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135,037</w:t>
            </w:r>
          </w:p>
        </w:tc>
      </w:tr>
      <w:tr>
        <w:tc>
          <w:tcPr>
            <w:tcW w:type="dxa" w:w="64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3</w:t>
            </w:r>
          </w:p>
        </w:tc>
        <w:tc>
          <w:tcPr>
            <w:tcW w:type="dxa" w:w="561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Parse InvoiceDate; drop unparseable</w:t>
            </w:r>
          </w:p>
        </w:tc>
        <w:tc>
          <w:tcPr>
            <w:tcW w:type="dxa" w:w="309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w:t>
            </w:r>
          </w:p>
        </w:tc>
      </w:tr>
      <w:tr>
        <w:tc>
          <w:tcPr>
            <w:tcW w:type="dxa" w:w="64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4</w:t>
            </w:r>
          </w:p>
        </w:tc>
        <w:tc>
          <w:tcPr>
            <w:tcW w:type="dxa" w:w="561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Cast Quantity &amp; UnitPrice to numeric; drop failures</w:t>
            </w:r>
          </w:p>
        </w:tc>
        <w:tc>
          <w:tcPr>
            <w:tcW w:type="dxa" w:w="309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Minimal</w:t>
            </w:r>
          </w:p>
        </w:tc>
      </w:tr>
      <w:tr>
        <w:tc>
          <w:tcPr>
            <w:tcW w:type="dxa" w:w="64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5</w:t>
            </w:r>
          </w:p>
        </w:tc>
        <w:tc>
          <w:tcPr>
            <w:tcW w:type="dxa" w:w="561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Flag invoice type (C = cancel, A = adjust)</w:t>
            </w:r>
          </w:p>
        </w:tc>
        <w:tc>
          <w:tcPr>
            <w:tcW w:type="dxa" w:w="309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Flag only</w:t>
            </w:r>
          </w:p>
        </w:tc>
      </w:tr>
      <w:tr>
        <w:tc>
          <w:tcPr>
            <w:tcW w:type="dxa" w:w="64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6</w:t>
            </w:r>
          </w:p>
        </w:tc>
        <w:tc>
          <w:tcPr>
            <w:tcW w:type="dxa" w:w="561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Drop bad-debt adjustment rows (A-prefix)</w:t>
            </w:r>
          </w:p>
        </w:tc>
        <w:tc>
          <w:tcPr>
            <w:tcW w:type="dxa" w:w="309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Removed</w:t>
            </w:r>
          </w:p>
        </w:tc>
      </w:tr>
      <w:tr>
        <w:tc>
          <w:tcPr>
            <w:tcW w:type="dxa" w:w="64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7</w:t>
            </w:r>
          </w:p>
        </w:tc>
        <w:tc>
          <w:tcPr>
            <w:tcW w:type="dxa" w:w="561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Separate cancellation rows into returns_df</w:t>
            </w:r>
          </w:p>
        </w:tc>
        <w:tc>
          <w:tcPr>
            <w:tcW w:type="dxa" w:w="309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8,872</w:t>
            </w:r>
          </w:p>
        </w:tc>
      </w:tr>
      <w:tr>
        <w:tc>
          <w:tcPr>
            <w:tcW w:type="dxa" w:w="64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8</w:t>
            </w:r>
          </w:p>
        </w:tc>
        <w:tc>
          <w:tcPr>
            <w:tcW w:type="dxa" w:w="561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Filter to non-cancellation purchase rows only</w:t>
            </w:r>
          </w:p>
        </w:tc>
        <w:tc>
          <w:tcPr>
            <w:tcW w:type="dxa" w:w="309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Split</w:t>
            </w:r>
          </w:p>
        </w:tc>
      </w:tr>
      <w:tr>
        <w:tc>
          <w:tcPr>
            <w:tcW w:type="dxa" w:w="64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9</w:t>
            </w:r>
          </w:p>
        </w:tc>
        <w:tc>
          <w:tcPr>
            <w:tcW w:type="dxa" w:w="561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Remove non-product StockCodes (POST, DOT, etc.)</w:t>
            </w:r>
          </w:p>
        </w:tc>
        <w:tc>
          <w:tcPr>
            <w:tcW w:type="dxa" w:w="309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Filtered</w:t>
            </w:r>
          </w:p>
        </w:tc>
      </w:tr>
      <w:tr>
        <w:tc>
          <w:tcPr>
            <w:tcW w:type="dxa" w:w="64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10</w:t>
            </w:r>
          </w:p>
        </w:tc>
        <w:tc>
          <w:tcPr>
            <w:tcW w:type="dxa" w:w="561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Remove rows with UnitPrice ≤ 0</w:t>
            </w:r>
          </w:p>
        </w:tc>
        <w:tc>
          <w:tcPr>
            <w:tcW w:type="dxa" w:w="309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Filtered</w:t>
            </w:r>
          </w:p>
        </w:tc>
      </w:tr>
      <w:tr>
        <w:tc>
          <w:tcPr>
            <w:tcW w:type="dxa" w:w="64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11</w:t>
            </w:r>
          </w:p>
        </w:tc>
        <w:tc>
          <w:tcPr>
            <w:tcW w:type="dxa" w:w="561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Remove rows with Quantity ≤ 0</w:t>
            </w:r>
          </w:p>
        </w:tc>
        <w:tc>
          <w:tcPr>
            <w:tcW w:type="dxa" w:w="309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1,449 (steps 9–11 combined)</w:t>
            </w:r>
          </w:p>
        </w:tc>
      </w:tr>
      <w:tr>
        <w:tc>
          <w:tcPr>
            <w:tcW w:type="dxa" w:w="64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12</w:t>
            </w:r>
          </w:p>
        </w:tc>
        <w:tc>
          <w:tcPr>
            <w:tcW w:type="dxa" w:w="561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Compute LineRevenue = Quantity × UnitPrice</w:t>
            </w:r>
          </w:p>
        </w:tc>
        <w:tc>
          <w:tcPr>
            <w:tcW w:type="dxa" w:w="309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Derived column</w:t>
            </w:r>
          </w:p>
        </w:tc>
      </w:tr>
      <w:tr>
        <w:tc>
          <w:tcPr>
            <w:tcW w:type="dxa" w:w="64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13</w:t>
            </w:r>
          </w:p>
        </w:tc>
        <w:tc>
          <w:tcPr>
            <w:tcW w:type="dxa" w:w="561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Clean return rows separately (LineRevenue on returns)</w:t>
            </w:r>
          </w:p>
        </w:tc>
        <w:tc>
          <w:tcPr>
            <w:tcW w:type="dxa" w:w="309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Derived column</w:t>
            </w:r>
          </w:p>
        </w:tc>
      </w:tr>
    </w:tbl>
    <w:p>
      <w:pPr>
        <w:spacing w:before="0" w:after="80"/>
      </w:pPr>
    </w:p>
    <w:p>
      <w:pPr>
        <w:spacing w:before="0" w:after="120"/>
      </w:pPr>
      <w:r>
        <w:rPr>
          <w:rFonts w:ascii="Calibri" w:hAnsi="Calibri"/>
          <w:b/>
          <w:i w:val="0"/>
          <w:sz w:val="22"/>
        </w:rPr>
        <w:t xml:space="preserve">Final result:  </w:t>
      </w:r>
      <w:r>
        <w:rPr>
          <w:rFonts w:ascii="Calibri" w:hAnsi="Calibri"/>
          <w:b w:val="0"/>
          <w:i w:val="0"/>
          <w:sz w:val="22"/>
        </w:rPr>
        <w:t>391,283 purchase rows  |  4,334 unique customers  |  Period: 2010-12-01  to  2011-12-09</w:t>
      </w:r>
    </w:p>
    <w:p>
      <w:pPr>
        <w:pStyle w:val="Heading1"/>
        <w:spacing w:before="200" w:after="60"/>
      </w:pPr>
      <w:r>
        <w:rPr>
          <w:rFonts w:ascii="Calibri" w:hAnsi="Calibri"/>
          <w:color w:val="1A1A2E"/>
          <w:sz w:val="28"/>
        </w:rPr>
        <w:t>4. Feature Engineering &amp; Churn Label Definition</w:t>
      </w:r>
    </w:p>
    <w:p>
      <w:pPr>
        <w:spacing w:before="0" w:after="80"/>
        <w:jc w:val="both"/>
      </w:pPr>
      <w:r>
        <w:rPr>
          <w:rFonts w:ascii="Calibri" w:hAnsi="Calibri"/>
          <w:b w:val="0"/>
          <w:i w:val="0"/>
          <w:sz w:val="22"/>
        </w:rPr>
        <w:t>A temporal snapshot approach (snapshot date = 2011-09-30) prevents data leakage. All 18 features are computed from transactions on or before the snapshot. Post-snapshot data is used only for creating the binary churn label.</w:t>
      </w:r>
    </w:p>
    <w:p>
      <w:pPr>
        <w:pStyle w:val="Heading2"/>
        <w:spacing w:before="120" w:after="60"/>
      </w:pPr>
      <w:r>
        <w:rPr>
          <w:rFonts w:ascii="Calibri" w:hAnsi="Calibri"/>
          <w:color w:val="16213E"/>
          <w:sz w:val="24"/>
        </w:rPr>
        <w:t>4.1  18 Customer-Level Features</w:t>
      </w:r>
    </w:p>
    <w:tbl>
      <w:tblPr>
        <w:tblStyle w:val="TableGrid"/>
        <w:tblW w:type="auto" w:w="0"/>
        <w:jc w:val="center"/>
        <w:tblLook w:firstColumn="1" w:firstRow="1" w:lastColumn="0" w:lastRow="0" w:noHBand="0" w:noVBand="1" w:val="04A0"/>
      </w:tblPr>
      <w:tblGrid>
        <w:gridCol w:w="4706"/>
        <w:gridCol w:w="4706"/>
      </w:tblGrid>
      <w:tr>
        <w:tc>
          <w:tcPr>
            <w:tcW w:type="dxa" w:w="3168"/>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Feature</w:t>
            </w:r>
          </w:p>
        </w:tc>
        <w:tc>
          <w:tcPr>
            <w:tcW w:type="dxa" w:w="6192"/>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Description</w:t>
            </w: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tcPr>
          <w:p/>
        </w:tc>
        <w:tc>
          <w:tcPr>
            <w:tcW w:type="dxa" w:w="6192"/>
          </w:tcPr>
          <w:p/>
        </w:tc>
      </w:tr>
      <w:tr>
        <w:tc>
          <w:tcPr>
            <w:tcW w:type="dxa" w:w="316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recency_days</w:t>
            </w:r>
          </w:p>
        </w:tc>
        <w:tc>
          <w:tcPr>
            <w:tcW w:type="dxa" w:w="619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Days from last purchase to snapshot date</w:t>
            </w:r>
          </w:p>
        </w:tc>
      </w:tr>
      <w:tr>
        <w:tc>
          <w:tcPr>
            <w:tcW w:type="dxa" w:w="316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frequency</w:t>
            </w:r>
          </w:p>
        </w:tc>
        <w:tc>
          <w:tcPr>
            <w:tcW w:type="dxa" w:w="619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Number of distinct purchase dates</w:t>
            </w:r>
          </w:p>
        </w:tc>
      </w:tr>
      <w:tr>
        <w:tc>
          <w:tcPr>
            <w:tcW w:type="dxa" w:w="316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monetary_total</w:t>
            </w:r>
          </w:p>
        </w:tc>
        <w:tc>
          <w:tcPr>
            <w:tcW w:type="dxa" w:w="619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Sum of all line revenues (£)</w:t>
            </w:r>
          </w:p>
        </w:tc>
      </w:tr>
      <w:tr>
        <w:tc>
          <w:tcPr>
            <w:tcW w:type="dxa" w:w="316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avg_order_value</w:t>
            </w:r>
          </w:p>
        </w:tc>
        <w:tc>
          <w:tcPr>
            <w:tcW w:type="dxa" w:w="619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monetary_total ÷ distinct_invoices</w:t>
            </w:r>
          </w:p>
        </w:tc>
      </w:tr>
      <w:tr>
        <w:tc>
          <w:tcPr>
            <w:tcW w:type="dxa" w:w="316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total_items</w:t>
            </w:r>
          </w:p>
        </w:tc>
        <w:tc>
          <w:tcPr>
            <w:tcW w:type="dxa" w:w="619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Total units purchased</w:t>
            </w:r>
          </w:p>
        </w:tc>
      </w:tr>
      <w:tr>
        <w:tc>
          <w:tcPr>
            <w:tcW w:type="dxa" w:w="316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distinct_products</w:t>
            </w:r>
          </w:p>
        </w:tc>
        <w:tc>
          <w:tcPr>
            <w:tcW w:type="dxa" w:w="619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Number of unique products bought</w:t>
            </w:r>
          </w:p>
        </w:tc>
      </w:tr>
      <w:tr>
        <w:tc>
          <w:tcPr>
            <w:tcW w:type="dxa" w:w="316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distinct_invoices</w:t>
            </w:r>
          </w:p>
        </w:tc>
        <w:tc>
          <w:tcPr>
            <w:tcW w:type="dxa" w:w="619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Number of distinct invoices</w:t>
            </w:r>
          </w:p>
        </w:tc>
      </w:tr>
      <w:tr>
        <w:tc>
          <w:tcPr>
            <w:tcW w:type="dxa" w:w="316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return_rate</w:t>
            </w:r>
          </w:p>
        </w:tc>
        <w:tc>
          <w:tcPr>
            <w:tcW w:type="dxa" w:w="619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n_returns ÷ distinct_invoices</w:t>
            </w:r>
          </w:p>
        </w:tc>
      </w:tr>
      <w:tr>
        <w:tc>
          <w:tcPr>
            <w:tcW w:type="dxa" w:w="316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cancelled_amount</w:t>
            </w:r>
          </w:p>
        </w:tc>
        <w:tc>
          <w:tcPr>
            <w:tcW w:type="dxa" w:w="619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Total value of cancelled/returned items (£)</w:t>
            </w:r>
          </w:p>
        </w:tc>
      </w:tr>
      <w:tr>
        <w:tc>
          <w:tcPr>
            <w:tcW w:type="dxa" w:w="316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n_returns</w:t>
            </w:r>
          </w:p>
        </w:tc>
        <w:tc>
          <w:tcPr>
            <w:tcW w:type="dxa" w:w="619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Number of return/cancellation invoices</w:t>
            </w:r>
          </w:p>
        </w:tc>
      </w:tr>
      <w:tr>
        <w:tc>
          <w:tcPr>
            <w:tcW w:type="dxa" w:w="316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tenure_days</w:t>
            </w:r>
          </w:p>
        </w:tc>
        <w:tc>
          <w:tcPr>
            <w:tcW w:type="dxa" w:w="619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Days from first purchase to snapshot</w:t>
            </w:r>
          </w:p>
        </w:tc>
      </w:tr>
      <w:tr>
        <w:tc>
          <w:tcPr>
            <w:tcW w:type="dxa" w:w="316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purchase_span_days</w:t>
            </w:r>
          </w:p>
        </w:tc>
        <w:tc>
          <w:tcPr>
            <w:tcW w:type="dxa" w:w="619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Days from first to last purchase</w:t>
            </w:r>
          </w:p>
        </w:tc>
      </w:tr>
      <w:tr>
        <w:tc>
          <w:tcPr>
            <w:tcW w:type="dxa" w:w="316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inter_purchase_gap_mean</w:t>
            </w:r>
          </w:p>
        </w:tc>
        <w:tc>
          <w:tcPr>
            <w:tcW w:type="dxa" w:w="619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Mean days between consecutive purchases</w:t>
            </w:r>
          </w:p>
        </w:tc>
      </w:tr>
      <w:tr>
        <w:tc>
          <w:tcPr>
            <w:tcW w:type="dxa" w:w="316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inter_purchase_gap_std</w:t>
            </w:r>
          </w:p>
        </w:tc>
        <w:tc>
          <w:tcPr>
            <w:tcW w:type="dxa" w:w="619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Std deviation of inter-purchase gaps</w:t>
            </w:r>
          </w:p>
        </w:tc>
      </w:tr>
      <w:tr>
        <w:tc>
          <w:tcPr>
            <w:tcW w:type="dxa" w:w="316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purchases_last_90d</w:t>
            </w:r>
          </w:p>
        </w:tc>
        <w:tc>
          <w:tcPr>
            <w:tcW w:type="dxa" w:w="619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Distinct invoices in 90 days before snapshot</w:t>
            </w:r>
          </w:p>
        </w:tc>
      </w:tr>
      <w:tr>
        <w:tc>
          <w:tcPr>
            <w:tcW w:type="dxa" w:w="316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revenue_last_90d</w:t>
            </w:r>
          </w:p>
        </w:tc>
        <w:tc>
          <w:tcPr>
            <w:tcW w:type="dxa" w:w="619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Revenue in 90 days before snapshot (£)</w:t>
            </w:r>
          </w:p>
        </w:tc>
      </w:tr>
      <w:tr>
        <w:tc>
          <w:tcPr>
            <w:tcW w:type="dxa" w:w="316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rfm_score</w:t>
            </w:r>
          </w:p>
        </w:tc>
        <w:tc>
          <w:tcPr>
            <w:tcW w:type="dxa" w:w="619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Sum of R+F+M quintile scores (range: 3–15)</w:t>
            </w:r>
          </w:p>
        </w:tc>
      </w:tr>
      <w:tr>
        <w:tc>
          <w:tcPr>
            <w:tcW w:type="dxa" w:w="316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is_uk</w:t>
            </w:r>
          </w:p>
        </w:tc>
        <w:tc>
          <w:tcPr>
            <w:tcW w:type="dxa" w:w="619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Binary flag: 1 = primary country is United Kingdom</w:t>
            </w:r>
          </w:p>
        </w:tc>
      </w:tr>
    </w:tbl>
    <w:p>
      <w:pPr>
        <w:spacing w:before="0" w:after="80"/>
      </w:pPr>
    </w:p>
    <w:p>
      <w:pPr>
        <w:pStyle w:val="Heading2"/>
        <w:spacing w:before="120" w:after="60"/>
      </w:pPr>
      <w:r>
        <w:rPr>
          <w:rFonts w:ascii="Calibri" w:hAnsi="Calibri"/>
          <w:color w:val="16213E"/>
          <w:sz w:val="24"/>
        </w:rPr>
        <w:t>4.2  RFM Quintile Scoring</w:t>
      </w:r>
    </w:p>
    <w:p>
      <w:pPr>
        <w:spacing w:before="0" w:after="80"/>
        <w:jc w:val="both"/>
      </w:pPr>
      <w:r>
        <w:rPr>
          <w:rFonts w:ascii="Calibri" w:hAnsi="Calibri"/>
          <w:b w:val="0"/>
          <w:i w:val="0"/>
          <w:sz w:val="22"/>
        </w:rPr>
        <w:t>Recency, Frequency, and Monetary features are each scored 1–5 using quintile binning. Lower recency (more recent) → higher R score. Higher frequency/monetary → higher F/M score. rfm_score = R + F + M (range 3–15). Higher score = more engaged, higher-value customer.</w:t>
      </w:r>
    </w:p>
    <w:p>
      <w:pPr>
        <w:pStyle w:val="Heading2"/>
        <w:spacing w:before="120" w:after="60"/>
      </w:pPr>
      <w:r>
        <w:rPr>
          <w:rFonts w:ascii="Calibri" w:hAnsi="Calibri"/>
          <w:color w:val="16213E"/>
          <w:sz w:val="24"/>
        </w:rPr>
        <w:t>4.3  Churn Label</w:t>
      </w:r>
    </w:p>
    <w:p>
      <w:pPr>
        <w:spacing w:before="0" w:after="80"/>
        <w:jc w:val="both"/>
      </w:pPr>
      <w:r>
        <w:rPr>
          <w:rFonts w:ascii="Calibri" w:hAnsi="Calibri"/>
          <w:b w:val="0"/>
          <w:i w:val="0"/>
          <w:sz w:val="22"/>
        </w:rPr>
        <w:t>churn = 1 if the customer made zero qualifying purchases after 2011-09-30 (churned); churn = 0 if at least one post-snapshot purchase was recorded (retained). The post-snapshot observation window is ~70 days (Oct 1 – Dec 9, 2011).</w:t>
      </w:r>
    </w:p>
    <w:p>
      <w:pPr>
        <w:spacing w:before="60" w:after="120"/>
        <w:shd w:val="clear" w:color="auto" w:fill="FFF8E1"/>
      </w:pPr>
      <w:r>
        <w:rPr>
          <w:rFonts w:ascii="Calibri" w:hAnsi="Calibri"/>
          <w:b w:val="0"/>
          <w:i/>
          <w:sz w:val="20"/>
        </w:rPr>
        <w:t>⚠  The ~70-day observation window (vs. a standard 90-day window) may over-estimate churn. Historical churn rate: 48.7%  across  3,601 customers.</w:t>
      </w:r>
    </w:p>
    <w:p>
      <w:pPr>
        <w:pStyle w:val="Heading1"/>
        <w:spacing w:before="200" w:after="60"/>
      </w:pPr>
      <w:r>
        <w:rPr>
          <w:rFonts w:ascii="Calibri" w:hAnsi="Calibri"/>
          <w:color w:val="1A1A2E"/>
          <w:sz w:val="28"/>
        </w:rPr>
        <w:t>5. Exploratory Data Analysis</w:t>
      </w:r>
    </w:p>
    <w:p>
      <w:pPr>
        <w:spacing w:before="0" w:after="80"/>
        <w:jc w:val="both"/>
      </w:pPr>
      <w:r>
        <w:rPr>
          <w:rFonts w:ascii="Calibri" w:hAnsi="Calibri"/>
          <w:b w:val="0"/>
          <w:i w:val="0"/>
          <w:sz w:val="22"/>
        </w:rPr>
        <w:t>Four key visualisations are shown below, selected from the full EDA suite as the most informative for understanding the dataset and the churn problem.</w:t>
      </w:r>
    </w:p>
    <w:p>
      <w:pPr>
        <w:pStyle w:val="Heading2"/>
        <w:spacing w:before="120" w:after="60"/>
      </w:pPr>
      <w:r>
        <w:rPr>
          <w:rFonts w:ascii="Calibri" w:hAnsi="Calibri"/>
          <w:color w:val="16213E"/>
          <w:sz w:val="24"/>
        </w:rPr>
        <w:t>Figure 1 — Churn Class Distribution</w:t>
      </w:r>
    </w:p>
    <w:p>
      <w:pPr>
        <w:spacing w:before="80" w:after="40"/>
        <w:jc w:val="center"/>
      </w:pPr>
      <w:r>
        <w:drawing>
          <wp:inline xmlns:a="http://schemas.openxmlformats.org/drawingml/2006/main" xmlns:pic="http://schemas.openxmlformats.org/drawingml/2006/picture">
            <wp:extent cx="3840480" cy="2512095"/>
            <wp:docPr id="1" name="Picture 1"/>
            <wp:cNvGraphicFramePr>
              <a:graphicFrameLocks noChangeAspect="1"/>
            </wp:cNvGraphicFramePr>
            <a:graphic>
              <a:graphicData uri="http://schemas.openxmlformats.org/drawingml/2006/picture">
                <pic:pic>
                  <pic:nvPicPr>
                    <pic:cNvPr id="0" name="fig01_churn_distribution.png"/>
                    <pic:cNvPicPr/>
                  </pic:nvPicPr>
                  <pic:blipFill>
                    <a:blip r:embed="rId10"/>
                    <a:stretch>
                      <a:fillRect/>
                    </a:stretch>
                  </pic:blipFill>
                  <pic:spPr>
                    <a:xfrm>
                      <a:off x="0" y="0"/>
                      <a:ext cx="3840480" cy="2512095"/>
                    </a:xfrm>
                    <a:prstGeom prst="rect"/>
                  </pic:spPr>
                </pic:pic>
              </a:graphicData>
            </a:graphic>
          </wp:inline>
        </w:drawing>
      </w:r>
    </w:p>
    <w:p>
      <w:pPr>
        <w:spacing w:before="0" w:after="120"/>
        <w:jc w:val="center"/>
      </w:pPr>
      <w:r>
        <w:rPr>
          <w:rFonts w:ascii="Calibri" w:hAnsi="Calibri"/>
          <w:b w:val="0"/>
          <w:i/>
          <w:color w:val="505A64"/>
          <w:sz w:val="18"/>
        </w:rPr>
        <w:t>Fig. 1.  Churn class balance. Churned: 1,755 (48.7%)  |  Retained: 1,846 (51.3%).</w:t>
      </w:r>
    </w:p>
    <w:p>
      <w:pPr>
        <w:spacing w:before="0" w:after="80"/>
        <w:jc w:val="both"/>
      </w:pPr>
      <w:r>
        <w:rPr>
          <w:rFonts w:ascii="Calibri" w:hAnsi="Calibri"/>
          <w:b w:val="0"/>
          <w:i w:val="0"/>
          <w:sz w:val="21"/>
        </w:rPr>
        <w:t>The modelling dataset contains 3,601 customers. 1,755 (48.7%) are labelled churned and 1,846 (51.3%) retained — a near-50/50 split caused by the short ~70-day post-snapshot window. All classifiers use class_weight='balanced' to avoid prediction bias.</w:t>
      </w:r>
    </w:p>
    <w:p>
      <w:pPr>
        <w:pStyle w:val="Heading2"/>
        <w:spacing w:before="120" w:after="60"/>
      </w:pPr>
      <w:r>
        <w:rPr>
          <w:rFonts w:ascii="Calibri" w:hAnsi="Calibri"/>
          <w:color w:val="16213E"/>
          <w:sz w:val="24"/>
        </w:rPr>
        <w:t>Figure 2 — RFM Scatter: Recency vs Frequency by Churn</w:t>
      </w:r>
    </w:p>
    <w:p>
      <w:pPr>
        <w:spacing w:before="80" w:after="40"/>
        <w:jc w:val="center"/>
      </w:pPr>
      <w:r>
        <w:drawing>
          <wp:inline xmlns:a="http://schemas.openxmlformats.org/drawingml/2006/main" xmlns:pic="http://schemas.openxmlformats.org/drawingml/2006/picture">
            <wp:extent cx="5120640" cy="3148149"/>
            <wp:docPr id="2" name="Picture 2"/>
            <wp:cNvGraphicFramePr>
              <a:graphicFrameLocks noChangeAspect="1"/>
            </wp:cNvGraphicFramePr>
            <a:graphic>
              <a:graphicData uri="http://schemas.openxmlformats.org/drawingml/2006/picture">
                <pic:pic>
                  <pic:nvPicPr>
                    <pic:cNvPr id="0" name="fig12_rfm_scatter.png"/>
                    <pic:cNvPicPr/>
                  </pic:nvPicPr>
                  <pic:blipFill>
                    <a:blip r:embed="rId11"/>
                    <a:stretch>
                      <a:fillRect/>
                    </a:stretch>
                  </pic:blipFill>
                  <pic:spPr>
                    <a:xfrm>
                      <a:off x="0" y="0"/>
                      <a:ext cx="5120640" cy="3148149"/>
                    </a:xfrm>
                    <a:prstGeom prst="rect"/>
                  </pic:spPr>
                </pic:pic>
              </a:graphicData>
            </a:graphic>
          </wp:inline>
        </w:drawing>
      </w:r>
    </w:p>
    <w:p>
      <w:pPr>
        <w:spacing w:before="0" w:after="120"/>
        <w:jc w:val="center"/>
      </w:pPr>
      <w:r>
        <w:rPr>
          <w:rFonts w:ascii="Calibri" w:hAnsi="Calibri"/>
          <w:b w:val="0"/>
          <w:i/>
          <w:color w:val="505A64"/>
          <w:sz w:val="18"/>
        </w:rPr>
        <w:t>Fig. 2.  Recency (days since last purchase) vs Frequency, coloured by churn label. Red = churned, green = retained. Sample of up to 1,000 customers shown.</w:t>
      </w:r>
    </w:p>
    <w:p>
      <w:pPr>
        <w:spacing w:before="0" w:after="80"/>
        <w:jc w:val="both"/>
      </w:pPr>
      <w:r>
        <w:rPr>
          <w:rFonts w:ascii="Calibri" w:hAnsi="Calibri"/>
          <w:b w:val="0"/>
          <w:i w:val="0"/>
          <w:sz w:val="21"/>
        </w:rPr>
        <w:t>Churned customers (red) cluster in the upper-left — high recency, low frequency — while retained customers (green) concentrate lower-right. This confirms recency and frequency as the two strongest individual discriminators for churn.</w:t>
      </w:r>
    </w:p>
    <w:p>
      <w:pPr>
        <w:pStyle w:val="Heading2"/>
        <w:spacing w:before="120" w:after="60"/>
      </w:pPr>
      <w:r>
        <w:rPr>
          <w:rFonts w:ascii="Calibri" w:hAnsi="Calibri"/>
          <w:color w:val="16213E"/>
          <w:sz w:val="24"/>
        </w:rPr>
        <w:t>Figure 3 — Feature Distributions by Churn Status</w:t>
      </w:r>
    </w:p>
    <w:p>
      <w:pPr>
        <w:spacing w:before="80" w:after="40"/>
        <w:jc w:val="center"/>
      </w:pPr>
      <w:r>
        <w:drawing>
          <wp:inline xmlns:a="http://schemas.openxmlformats.org/drawingml/2006/main" xmlns:pic="http://schemas.openxmlformats.org/drawingml/2006/picture">
            <wp:extent cx="3474720" cy="2272848"/>
            <wp:docPr id="3" name="Picture 3"/>
            <wp:cNvGraphicFramePr>
              <a:graphicFrameLocks noChangeAspect="1"/>
            </wp:cNvGraphicFramePr>
            <a:graphic>
              <a:graphicData uri="http://schemas.openxmlformats.org/drawingml/2006/picture">
                <pic:pic>
                  <pic:nvPicPr>
                    <pic:cNvPr id="0" name="fig05_churn_vs_recency.png"/>
                    <pic:cNvPicPr/>
                  </pic:nvPicPr>
                  <pic:blipFill>
                    <a:blip r:embed="rId12"/>
                    <a:stretch>
                      <a:fillRect/>
                    </a:stretch>
                  </pic:blipFill>
                  <pic:spPr>
                    <a:xfrm>
                      <a:off x="0" y="0"/>
                      <a:ext cx="3474720" cy="2272848"/>
                    </a:xfrm>
                    <a:prstGeom prst="rect"/>
                  </pic:spPr>
                </pic:pic>
              </a:graphicData>
            </a:graphic>
          </wp:inline>
        </w:drawing>
      </w:r>
    </w:p>
    <w:p>
      <w:pPr>
        <w:spacing w:before="0" w:after="120"/>
        <w:jc w:val="center"/>
      </w:pPr>
      <w:r>
        <w:rPr>
          <w:rFonts w:ascii="Calibri" w:hAnsi="Calibri"/>
          <w:b w:val="0"/>
          <w:i/>
          <w:color w:val="505A64"/>
          <w:sz w:val="18"/>
        </w:rPr>
        <w:t>Fig. 3a.  Recency by churn label. Churned median: 106 d  vs  Retained: 37 d  (gap = 69 d).</w:t>
      </w:r>
    </w:p>
    <w:p>
      <w:pPr>
        <w:spacing w:before="80" w:after="40"/>
        <w:jc w:val="center"/>
      </w:pPr>
      <w:r>
        <w:drawing>
          <wp:inline xmlns:a="http://schemas.openxmlformats.org/drawingml/2006/main" xmlns:pic="http://schemas.openxmlformats.org/drawingml/2006/picture">
            <wp:extent cx="3474720" cy="2272848"/>
            <wp:docPr id="4" name="Picture 4"/>
            <wp:cNvGraphicFramePr>
              <a:graphicFrameLocks noChangeAspect="1"/>
            </wp:cNvGraphicFramePr>
            <a:graphic>
              <a:graphicData uri="http://schemas.openxmlformats.org/drawingml/2006/picture">
                <pic:pic>
                  <pic:nvPicPr>
                    <pic:cNvPr id="0" name="fig06_churn_vs_frequency.png"/>
                    <pic:cNvPicPr/>
                  </pic:nvPicPr>
                  <pic:blipFill>
                    <a:blip r:embed="rId13"/>
                    <a:stretch>
                      <a:fillRect/>
                    </a:stretch>
                  </pic:blipFill>
                  <pic:spPr>
                    <a:xfrm>
                      <a:off x="0" y="0"/>
                      <a:ext cx="3474720" cy="2272848"/>
                    </a:xfrm>
                    <a:prstGeom prst="rect"/>
                  </pic:spPr>
                </pic:pic>
              </a:graphicData>
            </a:graphic>
          </wp:inline>
        </w:drawing>
      </w:r>
    </w:p>
    <w:p>
      <w:pPr>
        <w:spacing w:before="0" w:after="120"/>
        <w:jc w:val="center"/>
      </w:pPr>
      <w:r>
        <w:rPr>
          <w:rFonts w:ascii="Calibri" w:hAnsi="Calibri"/>
          <w:b w:val="0"/>
          <w:i/>
          <w:color w:val="505A64"/>
          <w:sz w:val="18"/>
        </w:rPr>
        <w:t>Fig. 3b.  Frequency by churn label. Retained median: 3.0  vs  Churned: 1.0.</w:t>
      </w:r>
    </w:p>
    <w:p>
      <w:pPr>
        <w:spacing w:before="0" w:after="80"/>
        <w:jc w:val="both"/>
      </w:pPr>
      <w:r>
        <w:rPr>
          <w:rFonts w:ascii="Calibri" w:hAnsi="Calibri"/>
          <w:b w:val="0"/>
          <w:i w:val="0"/>
          <w:sz w:val="21"/>
        </w:rPr>
        <w:t>Churned customers show markedly higher recency (median 106 d vs 37 d for retained) and lower purchase frequency (median 1.0 vs 3.0). Median lifetime revenue is £380 (churned) vs £934 (retained) — a 2.5× difference.</w:t>
      </w:r>
    </w:p>
    <w:p>
      <w:pPr>
        <w:pStyle w:val="Heading2"/>
        <w:spacing w:before="120" w:after="60"/>
      </w:pPr>
      <w:r>
        <w:rPr>
          <w:rFonts w:ascii="Calibri" w:hAnsi="Calibri"/>
          <w:color w:val="16213E"/>
          <w:sz w:val="24"/>
        </w:rPr>
        <w:t>Figure 4 — Monthly Transaction Volume &amp; Revenue</w:t>
      </w:r>
    </w:p>
    <w:p>
      <w:pPr>
        <w:spacing w:before="80" w:after="40"/>
        <w:jc w:val="center"/>
      </w:pPr>
      <w:r>
        <w:drawing>
          <wp:inline xmlns:a="http://schemas.openxmlformats.org/drawingml/2006/main" xmlns:pic="http://schemas.openxmlformats.org/drawingml/2006/picture">
            <wp:extent cx="5884560" cy="1756813"/>
            <wp:docPr id="5" name="Picture 5"/>
            <wp:cNvGraphicFramePr>
              <a:graphicFrameLocks noChangeAspect="1"/>
            </wp:cNvGraphicFramePr>
            <a:graphic>
              <a:graphicData uri="http://schemas.openxmlformats.org/drawingml/2006/picture">
                <pic:pic>
                  <pic:nvPicPr>
                    <pic:cNvPr id="0" name="fig09_monthly_trends.png"/>
                    <pic:cNvPicPr/>
                  </pic:nvPicPr>
                  <pic:blipFill>
                    <a:blip r:embed="rId14"/>
                    <a:stretch>
                      <a:fillRect/>
                    </a:stretch>
                  </pic:blipFill>
                  <pic:spPr>
                    <a:xfrm>
                      <a:off x="0" y="0"/>
                      <a:ext cx="5884560" cy="1756813"/>
                    </a:xfrm>
                    <a:prstGeom prst="rect"/>
                  </pic:spPr>
                </pic:pic>
              </a:graphicData>
            </a:graphic>
          </wp:inline>
        </w:drawing>
      </w:r>
    </w:p>
    <w:p>
      <w:pPr>
        <w:spacing w:before="0" w:after="120"/>
        <w:jc w:val="center"/>
      </w:pPr>
      <w:r>
        <w:rPr>
          <w:rFonts w:ascii="Calibri" w:hAnsi="Calibri"/>
          <w:b w:val="0"/>
          <w:i/>
          <w:color w:val="505A64"/>
          <w:sz w:val="18"/>
        </w:rPr>
        <w:t>Fig. 4.  Monthly invoice volume (left) and revenue (right), Dec 2010 – Dec 2011. November 2011 is the peak month; December 2011 is a partial month (data ends 9 Dec).</w:t>
      </w:r>
    </w:p>
    <w:p>
      <w:pPr>
        <w:spacing w:before="0" w:after="80"/>
        <w:jc w:val="both"/>
      </w:pPr>
      <w:r>
        <w:rPr>
          <w:rFonts w:ascii="Calibri" w:hAnsi="Calibri"/>
          <w:b w:val="0"/>
          <w:i w:val="0"/>
          <w:sz w:val="21"/>
        </w:rPr>
        <w:t>Transaction volume and revenue grew steadily through 2011, peaking in November ahead of the Christmas season. The partial December 2011 month shows lower volume than the underlying trend. This seasonal pattern underscores the importance of the snapshot date selection for churn labelling.</w:t>
      </w:r>
    </w:p>
    <w:p>
      <w:pPr>
        <w:pStyle w:val="Heading1"/>
        <w:spacing w:before="200" w:after="60"/>
      </w:pPr>
      <w:r>
        <w:rPr>
          <w:rFonts w:ascii="Calibri" w:hAnsi="Calibri"/>
          <w:color w:val="1A1A2E"/>
          <w:sz w:val="28"/>
        </w:rPr>
        <w:t>6. Model Training &amp; Evaluation</w:t>
      </w:r>
    </w:p>
    <w:p>
      <w:pPr>
        <w:spacing w:before="0" w:after="80"/>
        <w:jc w:val="both"/>
      </w:pPr>
      <w:r>
        <w:rPr>
          <w:rFonts w:ascii="Calibri" w:hAnsi="Calibri"/>
          <w:b w:val="0"/>
          <w:i w:val="0"/>
          <w:sz w:val="22"/>
        </w:rPr>
        <w:t>Train/test split: 80% (2,880 customers) / 20% (721 customers), stratified by churn label. All four models are wrapped in a scikit-learn Pipeline with median imputation and StandardScaler. Model selection criterion: 5-fold stratified CV ROC-AUC.</w:t>
      </w:r>
    </w:p>
    <w:p>
      <w:pPr>
        <w:pStyle w:val="Heading2"/>
        <w:spacing w:before="120" w:after="60"/>
      </w:pPr>
      <w:r>
        <w:rPr>
          <w:rFonts w:ascii="Calibri" w:hAnsi="Calibri"/>
          <w:color w:val="16213E"/>
          <w:sz w:val="24"/>
        </w:rPr>
        <w:t>6.1  Models &amp; Hyperparameters</w:t>
      </w:r>
    </w:p>
    <w:tbl>
      <w:tblPr>
        <w:tblStyle w:val="TableGrid"/>
        <w:tblW w:type="auto" w:w="0"/>
        <w:jc w:val="center"/>
        <w:tblLook w:firstColumn="1" w:firstRow="1" w:lastColumn="0" w:lastRow="0" w:noHBand="0" w:noVBand="1" w:val="04A0"/>
      </w:tblPr>
      <w:tblGrid>
        <w:gridCol w:w="4706"/>
        <w:gridCol w:w="4706"/>
      </w:tblGrid>
      <w:tr>
        <w:tc>
          <w:tcPr>
            <w:tcW w:type="dxa" w:w="2880"/>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Model</w:t>
            </w:r>
          </w:p>
        </w:tc>
        <w:tc>
          <w:tcPr>
            <w:tcW w:type="dxa" w:w="6480"/>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Key Hyperparameters</w:t>
            </w: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tcPr>
          <w:p/>
        </w:tc>
        <w:tc>
          <w:tcPr>
            <w:tcW w:type="dxa" w:w="6480"/>
          </w:tcPr>
          <w:p/>
        </w:tc>
      </w:tr>
      <w:tr>
        <w:tc>
          <w:tcPr>
            <w:tcW w:type="dxa" w:w="288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Logistic Regression</w:t>
            </w:r>
          </w:p>
        </w:tc>
        <w:tc>
          <w:tcPr>
            <w:tcW w:type="dxa" w:w="648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solver=lbfgs, max_iter=1000, class_weight=balanced, random_state=42</w:t>
            </w:r>
          </w:p>
        </w:tc>
      </w:tr>
      <w:tr>
        <w:tc>
          <w:tcPr>
            <w:tcW w:type="dxa" w:w="2880"/>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Random Forest</w:t>
            </w:r>
          </w:p>
        </w:tc>
        <w:tc>
          <w:tcPr>
            <w:tcW w:type="dxa" w:w="6480"/>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n_estimators=200, class_weight=balanced, random_state=42, n_jobs=-1</w:t>
            </w:r>
          </w:p>
        </w:tc>
      </w:tr>
      <w:tr>
        <w:tc>
          <w:tcPr>
            <w:tcW w:type="dxa" w:w="288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HistGradientBoosting</w:t>
            </w:r>
          </w:p>
        </w:tc>
        <w:tc>
          <w:tcPr>
            <w:tcW w:type="dxa" w:w="648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max_iter=200, class_weight=balanced, random_state=42</w:t>
            </w:r>
          </w:p>
        </w:tc>
      </w:tr>
      <w:tr>
        <w:tc>
          <w:tcPr>
            <w:tcW w:type="dxa" w:w="2880"/>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K-Nearest Neighbours</w:t>
            </w:r>
          </w:p>
        </w:tc>
        <w:tc>
          <w:tcPr>
            <w:tcW w:type="dxa" w:w="6480"/>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n_neighbors=7, metric=manhattan (no class weighting)</w:t>
            </w:r>
          </w:p>
        </w:tc>
      </w:tr>
    </w:tbl>
    <w:p>
      <w:pPr>
        <w:spacing w:before="0" w:after="80"/>
      </w:pPr>
    </w:p>
    <w:p>
      <w:pPr>
        <w:pStyle w:val="Heading2"/>
        <w:spacing w:before="120" w:after="60"/>
      </w:pPr>
      <w:r>
        <w:rPr>
          <w:rFonts w:ascii="Calibri" w:hAnsi="Calibri"/>
          <w:color w:val="16213E"/>
          <w:sz w:val="24"/>
        </w:rPr>
        <w:t>6.2  Evaluation Metrics — Test Set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2736"/>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Model</w:t>
            </w:r>
          </w:p>
        </w:tc>
        <w:tc>
          <w:tcPr>
            <w:tcW w:type="dxa" w:w="1512"/>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CV ROC-AUC</w:t>
            </w:r>
          </w:p>
        </w:tc>
        <w:tc>
          <w:tcPr>
            <w:tcW w:type="dxa" w:w="1512"/>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Test ROC-AUC</w:t>
            </w:r>
          </w:p>
        </w:tc>
        <w:tc>
          <w:tcPr>
            <w:tcW w:type="dxa" w:w="1296"/>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Accuracy</w:t>
            </w:r>
          </w:p>
        </w:tc>
        <w:tc>
          <w:tcPr>
            <w:tcW w:type="dxa" w:w="1296"/>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Precision</w:t>
            </w:r>
          </w:p>
        </w:tc>
        <w:tc>
          <w:tcPr>
            <w:tcW w:type="dxa" w:w="1152"/>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Recall</w:t>
            </w:r>
          </w:p>
        </w:tc>
        <w:tc>
          <w:tcPr>
            <w:tcW w:type="dxa" w:w="1008"/>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F1</w:t>
            </w:r>
          </w:p>
        </w:tc>
        <w:tc>
          <w:tcPr>
            <w:tcW w:type="dxa" w:w="1224"/>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19"/>
              </w:rPr>
              <w:t>PR-AUC</w:t>
            </w:r>
          </w:p>
        </w:tc>
      </w:tr>
      <w:tr>
        <w:tc>
          <w:tcPr>
            <w:tcW w:type="dxa" w:w="2736"/>
          </w:tcPr>
          <w:p/>
        </w:tc>
        <w:tc>
          <w:tcPr>
            <w:tcW w:type="dxa" w:w="1512"/>
          </w:tcPr>
          <w:p/>
        </w:tc>
        <w:tc>
          <w:tcPr>
            <w:tcW w:type="dxa" w:w="1512"/>
          </w:tcPr>
          <w:p/>
        </w:tc>
        <w:tc>
          <w:tcPr>
            <w:tcW w:type="dxa" w:w="1296"/>
          </w:tcPr>
          <w:p/>
        </w:tc>
        <w:tc>
          <w:tcPr>
            <w:tcW w:type="dxa" w:w="1296"/>
          </w:tcPr>
          <w:p/>
        </w:tc>
        <w:tc>
          <w:tcPr>
            <w:tcW w:type="dxa" w:w="1152"/>
          </w:tcPr>
          <w:p/>
        </w:tc>
        <w:tc>
          <w:tcPr>
            <w:tcW w:type="dxa" w:w="1008"/>
          </w:tcPr>
          <w:p/>
        </w:tc>
        <w:tc>
          <w:tcPr>
            <w:tcW w:type="dxa" w:w="1224"/>
          </w:tcPr>
          <w:p/>
        </w:tc>
      </w:tr>
      <w:tr>
        <w:tc>
          <w:tcPr>
            <w:tcW w:type="dxa" w:w="2736"/>
          </w:tcPr>
          <w:p/>
        </w:tc>
        <w:tc>
          <w:tcPr>
            <w:tcW w:type="dxa" w:w="1512"/>
          </w:tcPr>
          <w:p/>
        </w:tc>
        <w:tc>
          <w:tcPr>
            <w:tcW w:type="dxa" w:w="1512"/>
          </w:tcPr>
          <w:p/>
        </w:tc>
        <w:tc>
          <w:tcPr>
            <w:tcW w:type="dxa" w:w="1296"/>
          </w:tcPr>
          <w:p/>
        </w:tc>
        <w:tc>
          <w:tcPr>
            <w:tcW w:type="dxa" w:w="1296"/>
          </w:tcPr>
          <w:p/>
        </w:tc>
        <w:tc>
          <w:tcPr>
            <w:tcW w:type="dxa" w:w="1152"/>
          </w:tcPr>
          <w:p/>
        </w:tc>
        <w:tc>
          <w:tcPr>
            <w:tcW w:type="dxa" w:w="1008"/>
          </w:tcPr>
          <w:p/>
        </w:tc>
        <w:tc>
          <w:tcPr>
            <w:tcW w:type="dxa" w:w="1224"/>
          </w:tcPr>
          <w:p/>
        </w:tc>
      </w:tr>
      <w:tr>
        <w:tc>
          <w:tcPr>
            <w:tcW w:type="dxa" w:w="2736"/>
          </w:tcPr>
          <w:p/>
        </w:tc>
        <w:tc>
          <w:tcPr>
            <w:tcW w:type="dxa" w:w="1512"/>
          </w:tcPr>
          <w:p/>
        </w:tc>
        <w:tc>
          <w:tcPr>
            <w:tcW w:type="dxa" w:w="1512"/>
          </w:tcPr>
          <w:p/>
        </w:tc>
        <w:tc>
          <w:tcPr>
            <w:tcW w:type="dxa" w:w="1296"/>
          </w:tcPr>
          <w:p/>
        </w:tc>
        <w:tc>
          <w:tcPr>
            <w:tcW w:type="dxa" w:w="1296"/>
          </w:tcPr>
          <w:p/>
        </w:tc>
        <w:tc>
          <w:tcPr>
            <w:tcW w:type="dxa" w:w="1152"/>
          </w:tcPr>
          <w:p/>
        </w:tc>
        <w:tc>
          <w:tcPr>
            <w:tcW w:type="dxa" w:w="1008"/>
          </w:tcPr>
          <w:p/>
        </w:tc>
        <w:tc>
          <w:tcPr>
            <w:tcW w:type="dxa" w:w="1224"/>
          </w:tcPr>
          <w:p/>
        </w:tc>
      </w:tr>
      <w:tr>
        <w:tc>
          <w:tcPr>
            <w:tcW w:type="dxa" w:w="2736"/>
          </w:tcPr>
          <w:p/>
        </w:tc>
        <w:tc>
          <w:tcPr>
            <w:tcW w:type="dxa" w:w="1512"/>
          </w:tcPr>
          <w:p/>
        </w:tc>
        <w:tc>
          <w:tcPr>
            <w:tcW w:type="dxa" w:w="1512"/>
          </w:tcPr>
          <w:p/>
        </w:tc>
        <w:tc>
          <w:tcPr>
            <w:tcW w:type="dxa" w:w="1296"/>
          </w:tcPr>
          <w:p/>
        </w:tc>
        <w:tc>
          <w:tcPr>
            <w:tcW w:type="dxa" w:w="1296"/>
          </w:tcPr>
          <w:p/>
        </w:tc>
        <w:tc>
          <w:tcPr>
            <w:tcW w:type="dxa" w:w="1152"/>
          </w:tcPr>
          <w:p/>
        </w:tc>
        <w:tc>
          <w:tcPr>
            <w:tcW w:type="dxa" w:w="1008"/>
          </w:tcPr>
          <w:p/>
        </w:tc>
        <w:tc>
          <w:tcPr>
            <w:tcW w:type="dxa" w:w="1224"/>
          </w:tcPr>
          <w:p/>
        </w:tc>
      </w:tr>
      <w:tr>
        <w:tc>
          <w:tcPr>
            <w:tcW w:type="dxa" w:w="273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Logistic Regression ★</w:t>
            </w:r>
          </w:p>
        </w:tc>
        <w:tc>
          <w:tcPr>
            <w:tcW w:type="dxa" w:w="151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0.7482</w:t>
            </w:r>
          </w:p>
        </w:tc>
        <w:tc>
          <w:tcPr>
            <w:tcW w:type="dxa" w:w="151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0.7372</w:t>
            </w:r>
          </w:p>
        </w:tc>
        <w:tc>
          <w:tcPr>
            <w:tcW w:type="dxa" w:w="129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0.6699</w:t>
            </w:r>
          </w:p>
        </w:tc>
        <w:tc>
          <w:tcPr>
            <w:tcW w:type="dxa" w:w="129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0.6368</w:t>
            </w:r>
          </w:p>
        </w:tc>
        <w:tc>
          <w:tcPr>
            <w:tcW w:type="dxa" w:w="115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0.7493</w:t>
            </w:r>
          </w:p>
        </w:tc>
        <w:tc>
          <w:tcPr>
            <w:tcW w:type="dxa" w:w="100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0.6885</w:t>
            </w:r>
          </w:p>
        </w:tc>
        <w:tc>
          <w:tcPr>
            <w:tcW w:type="dxa" w:w="1224"/>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0.6648</w:t>
            </w:r>
          </w:p>
        </w:tc>
      </w:tr>
      <w:tr>
        <w:tc>
          <w:tcPr>
            <w:tcW w:type="dxa" w:w="273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Random Forest</w:t>
            </w:r>
          </w:p>
        </w:tc>
        <w:tc>
          <w:tcPr>
            <w:tcW w:type="dxa" w:w="151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0.7226</w:t>
            </w:r>
          </w:p>
        </w:tc>
        <w:tc>
          <w:tcPr>
            <w:tcW w:type="dxa" w:w="151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0.7409</w:t>
            </w:r>
          </w:p>
        </w:tc>
        <w:tc>
          <w:tcPr>
            <w:tcW w:type="dxa" w:w="129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0.6824</w:t>
            </w:r>
          </w:p>
        </w:tc>
        <w:tc>
          <w:tcPr>
            <w:tcW w:type="dxa" w:w="129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0.6723</w:t>
            </w:r>
          </w:p>
        </w:tc>
        <w:tc>
          <w:tcPr>
            <w:tcW w:type="dxa" w:w="115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0.6781</w:t>
            </w:r>
          </w:p>
        </w:tc>
        <w:tc>
          <w:tcPr>
            <w:tcW w:type="dxa" w:w="100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0.6752</w:t>
            </w:r>
          </w:p>
        </w:tc>
        <w:tc>
          <w:tcPr>
            <w:tcW w:type="dxa" w:w="1224"/>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0.6852</w:t>
            </w:r>
          </w:p>
        </w:tc>
      </w:tr>
      <w:tr>
        <w:tc>
          <w:tcPr>
            <w:tcW w:type="dxa" w:w="273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HistGradientBoosting</w:t>
            </w:r>
          </w:p>
        </w:tc>
        <w:tc>
          <w:tcPr>
            <w:tcW w:type="dxa" w:w="151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0.7110</w:t>
            </w:r>
          </w:p>
        </w:tc>
        <w:tc>
          <w:tcPr>
            <w:tcW w:type="dxa" w:w="151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0.7326</w:t>
            </w:r>
          </w:p>
        </w:tc>
        <w:tc>
          <w:tcPr>
            <w:tcW w:type="dxa" w:w="129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0.6824</w:t>
            </w:r>
          </w:p>
        </w:tc>
        <w:tc>
          <w:tcPr>
            <w:tcW w:type="dxa" w:w="1296"/>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0.6676</w:t>
            </w:r>
          </w:p>
        </w:tc>
        <w:tc>
          <w:tcPr>
            <w:tcW w:type="dxa" w:w="1152"/>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0.6923</w:t>
            </w:r>
          </w:p>
        </w:tc>
        <w:tc>
          <w:tcPr>
            <w:tcW w:type="dxa" w:w="100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0.6797</w:t>
            </w:r>
          </w:p>
        </w:tc>
        <w:tc>
          <w:tcPr>
            <w:tcW w:type="dxa" w:w="1224"/>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19"/>
              </w:rPr>
              <w:t>0.6612</w:t>
            </w:r>
          </w:p>
        </w:tc>
      </w:tr>
      <w:tr>
        <w:tc>
          <w:tcPr>
            <w:tcW w:type="dxa" w:w="273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K-Nearest Neighbours</w:t>
            </w:r>
          </w:p>
        </w:tc>
        <w:tc>
          <w:tcPr>
            <w:tcW w:type="dxa" w:w="151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0.7148</w:t>
            </w:r>
          </w:p>
        </w:tc>
        <w:tc>
          <w:tcPr>
            <w:tcW w:type="dxa" w:w="151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0.7139</w:t>
            </w:r>
          </w:p>
        </w:tc>
        <w:tc>
          <w:tcPr>
            <w:tcW w:type="dxa" w:w="129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0.6505</w:t>
            </w:r>
          </w:p>
        </w:tc>
        <w:tc>
          <w:tcPr>
            <w:tcW w:type="dxa" w:w="1296"/>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0.6364</w:t>
            </w:r>
          </w:p>
        </w:tc>
        <w:tc>
          <w:tcPr>
            <w:tcW w:type="dxa" w:w="1152"/>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0.6581</w:t>
            </w:r>
          </w:p>
        </w:tc>
        <w:tc>
          <w:tcPr>
            <w:tcW w:type="dxa" w:w="100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0.6471</w:t>
            </w:r>
          </w:p>
        </w:tc>
        <w:tc>
          <w:tcPr>
            <w:tcW w:type="dxa" w:w="1224"/>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19"/>
              </w:rPr>
              <w:t>0.6436</w:t>
            </w:r>
          </w:p>
        </w:tc>
      </w:tr>
    </w:tbl>
    <w:p>
      <w:pPr>
        <w:spacing w:before="0" w:after="80"/>
      </w:pPr>
    </w:p>
    <w:p>
      <w:pPr>
        <w:spacing w:before="60" w:after="120"/>
        <w:shd w:val="clear" w:color="auto" w:fill="FFF8E1"/>
      </w:pPr>
      <w:r>
        <w:rPr>
          <w:rFonts w:ascii="Calibri" w:hAnsi="Calibri"/>
          <w:b w:val="0"/>
          <w:i/>
          <w:sz w:val="20"/>
        </w:rPr>
        <w:t>★ Best model: Logistic Regression  |  CV ROC-AUC = 0.7482  |  Test ROC-AUC = 0.7372  |  F1 = 0.6885</w:t>
      </w:r>
    </w:p>
    <w:p>
      <w:pPr>
        <w:pStyle w:val="Heading2"/>
        <w:spacing w:before="120" w:after="60"/>
      </w:pPr>
      <w:r>
        <w:rPr>
          <w:rFonts w:ascii="Calibri" w:hAnsi="Calibri"/>
          <w:color w:val="16213E"/>
          <w:sz w:val="24"/>
        </w:rPr>
        <w:t>6.3  Model Comparison Chart</w:t>
      </w:r>
    </w:p>
    <w:p>
      <w:pPr>
        <w:spacing w:before="80" w:after="40"/>
        <w:jc w:val="center"/>
      </w:pPr>
      <w:r>
        <w:drawing>
          <wp:inline xmlns:a="http://schemas.openxmlformats.org/drawingml/2006/main" xmlns:pic="http://schemas.openxmlformats.org/drawingml/2006/picture">
            <wp:extent cx="5303520" cy="2891738"/>
            <wp:docPr id="6" name="Picture 6"/>
            <wp:cNvGraphicFramePr>
              <a:graphicFrameLocks noChangeAspect="1"/>
            </wp:cNvGraphicFramePr>
            <a:graphic>
              <a:graphicData uri="http://schemas.openxmlformats.org/drawingml/2006/picture">
                <pic:pic>
                  <pic:nvPicPr>
                    <pic:cNvPr id="0" name="fig14_model_comparison.png"/>
                    <pic:cNvPicPr/>
                  </pic:nvPicPr>
                  <pic:blipFill>
                    <a:blip r:embed="rId15"/>
                    <a:stretch>
                      <a:fillRect/>
                    </a:stretch>
                  </pic:blipFill>
                  <pic:spPr>
                    <a:xfrm>
                      <a:off x="0" y="0"/>
                      <a:ext cx="5303520" cy="2891738"/>
                    </a:xfrm>
                    <a:prstGeom prst="rect"/>
                  </pic:spPr>
                </pic:pic>
              </a:graphicData>
            </a:graphic>
          </wp:inline>
        </w:drawing>
      </w:r>
    </w:p>
    <w:p>
      <w:pPr>
        <w:spacing w:before="0" w:after="120"/>
        <w:jc w:val="center"/>
      </w:pPr>
      <w:r>
        <w:rPr>
          <w:rFonts w:ascii="Calibri" w:hAnsi="Calibri"/>
          <w:b w:val="0"/>
          <w:i/>
          <w:color w:val="505A64"/>
          <w:sz w:val="18"/>
        </w:rPr>
        <w:t>Fig. 5.  CV ROC-AUC (blue) vs Test ROC-AUC (green) for all four models. Logistic Regression leads on CV ROC-AUC (0.748).</w:t>
      </w:r>
    </w:p>
    <w:p>
      <w:pPr>
        <w:pStyle w:val="Heading2"/>
        <w:spacing w:before="120" w:after="60"/>
      </w:pPr>
      <w:r>
        <w:rPr>
          <w:rFonts w:ascii="Calibri" w:hAnsi="Calibri"/>
          <w:color w:val="16213E"/>
          <w:sz w:val="24"/>
        </w:rPr>
        <w:t>6.4  Confusion Matrix — Best Model</w:t>
      </w:r>
    </w:p>
    <w:p>
      <w:pPr>
        <w:spacing w:before="80" w:after="40"/>
        <w:jc w:val="center"/>
      </w:pPr>
      <w:r>
        <w:drawing>
          <wp:inline xmlns:a="http://schemas.openxmlformats.org/drawingml/2006/main" xmlns:pic="http://schemas.openxmlformats.org/drawingml/2006/picture">
            <wp:extent cx="3474720" cy="2814034"/>
            <wp:docPr id="7" name="Picture 7"/>
            <wp:cNvGraphicFramePr>
              <a:graphicFrameLocks noChangeAspect="1"/>
            </wp:cNvGraphicFramePr>
            <a:graphic>
              <a:graphicData uri="http://schemas.openxmlformats.org/drawingml/2006/picture">
                <pic:pic>
                  <pic:nvPicPr>
                    <pic:cNvPr id="0" name="fig15_confusion_matrix.png"/>
                    <pic:cNvPicPr/>
                  </pic:nvPicPr>
                  <pic:blipFill>
                    <a:blip r:embed="rId16"/>
                    <a:stretch>
                      <a:fillRect/>
                    </a:stretch>
                  </pic:blipFill>
                  <pic:spPr>
                    <a:xfrm>
                      <a:off x="0" y="0"/>
                      <a:ext cx="3474720" cy="2814034"/>
                    </a:xfrm>
                    <a:prstGeom prst="rect"/>
                  </pic:spPr>
                </pic:pic>
              </a:graphicData>
            </a:graphic>
          </wp:inline>
        </w:drawing>
      </w:r>
    </w:p>
    <w:p>
      <w:pPr>
        <w:spacing w:before="0" w:after="120"/>
        <w:jc w:val="center"/>
      </w:pPr>
      <w:r>
        <w:rPr>
          <w:rFonts w:ascii="Calibri" w:hAnsi="Calibri"/>
          <w:b w:val="0"/>
          <w:i/>
          <w:color w:val="505A64"/>
          <w:sz w:val="18"/>
        </w:rPr>
        <w:t>Fig. 6.  Confusion matrix for Logistic Regression on the held-out test set (n = 721).</w:t>
      </w:r>
    </w:p>
    <w:p>
      <w:pPr>
        <w:pStyle w:val="Heading2"/>
        <w:spacing w:before="120" w:after="60"/>
      </w:pPr>
      <w:r>
        <w:rPr>
          <w:rFonts w:ascii="Calibri" w:hAnsi="Calibri"/>
          <w:color w:val="16213E"/>
          <w:sz w:val="24"/>
        </w:rPr>
        <w:t>6.5  ROC &amp; Precision-Recall Curves</w:t>
      </w:r>
    </w:p>
    <w:p>
      <w:pPr>
        <w:spacing w:before="80" w:after="40"/>
        <w:jc w:val="center"/>
      </w:pPr>
      <w:r>
        <w:drawing>
          <wp:inline xmlns:a="http://schemas.openxmlformats.org/drawingml/2006/main" xmlns:pic="http://schemas.openxmlformats.org/drawingml/2006/picture">
            <wp:extent cx="5029200" cy="3543968"/>
            <wp:docPr id="8" name="Picture 8"/>
            <wp:cNvGraphicFramePr>
              <a:graphicFrameLocks noChangeAspect="1"/>
            </wp:cNvGraphicFramePr>
            <a:graphic>
              <a:graphicData uri="http://schemas.openxmlformats.org/drawingml/2006/picture">
                <pic:pic>
                  <pic:nvPicPr>
                    <pic:cNvPr id="0" name="fig16_roc_curves.png"/>
                    <pic:cNvPicPr/>
                  </pic:nvPicPr>
                  <pic:blipFill>
                    <a:blip r:embed="rId17"/>
                    <a:stretch>
                      <a:fillRect/>
                    </a:stretch>
                  </pic:blipFill>
                  <pic:spPr>
                    <a:xfrm>
                      <a:off x="0" y="0"/>
                      <a:ext cx="5029200" cy="3543968"/>
                    </a:xfrm>
                    <a:prstGeom prst="rect"/>
                  </pic:spPr>
                </pic:pic>
              </a:graphicData>
            </a:graphic>
          </wp:inline>
        </w:drawing>
      </w:r>
    </w:p>
    <w:p>
      <w:pPr>
        <w:spacing w:before="0" w:after="120"/>
        <w:jc w:val="center"/>
      </w:pPr>
      <w:r>
        <w:rPr>
          <w:rFonts w:ascii="Calibri" w:hAnsi="Calibri"/>
          <w:b w:val="0"/>
          <w:i/>
          <w:color w:val="505A64"/>
          <w:sz w:val="18"/>
        </w:rPr>
        <w:t>Fig. 7.  ROC curves for all four models. Best model (★) drawn with a thicker solid line. Dashed diagonal = random classifier (AUC = 0.50).</w:t>
      </w:r>
    </w:p>
    <w:p>
      <w:pPr>
        <w:spacing w:before="80" w:after="40"/>
        <w:jc w:val="center"/>
      </w:pPr>
      <w:r>
        <w:drawing>
          <wp:inline xmlns:a="http://schemas.openxmlformats.org/drawingml/2006/main" xmlns:pic="http://schemas.openxmlformats.org/drawingml/2006/picture">
            <wp:extent cx="5029200" cy="3543968"/>
            <wp:docPr id="9" name="Picture 9"/>
            <wp:cNvGraphicFramePr>
              <a:graphicFrameLocks noChangeAspect="1"/>
            </wp:cNvGraphicFramePr>
            <a:graphic>
              <a:graphicData uri="http://schemas.openxmlformats.org/drawingml/2006/picture">
                <pic:pic>
                  <pic:nvPicPr>
                    <pic:cNvPr id="0" name="fig17_pr_curves.png"/>
                    <pic:cNvPicPr/>
                  </pic:nvPicPr>
                  <pic:blipFill>
                    <a:blip r:embed="rId18"/>
                    <a:stretch>
                      <a:fillRect/>
                    </a:stretch>
                  </pic:blipFill>
                  <pic:spPr>
                    <a:xfrm>
                      <a:off x="0" y="0"/>
                      <a:ext cx="5029200" cy="3543968"/>
                    </a:xfrm>
                    <a:prstGeom prst="rect"/>
                  </pic:spPr>
                </pic:pic>
              </a:graphicData>
            </a:graphic>
          </wp:inline>
        </w:drawing>
      </w:r>
    </w:p>
    <w:p>
      <w:pPr>
        <w:spacing w:before="0" w:after="120"/>
        <w:jc w:val="center"/>
      </w:pPr>
      <w:r>
        <w:rPr>
          <w:rFonts w:ascii="Calibri" w:hAnsi="Calibri"/>
          <w:b w:val="0"/>
          <w:i/>
          <w:color w:val="505A64"/>
          <w:sz w:val="18"/>
        </w:rPr>
        <w:t>Fig. 8.  Precision-Recall curves for all four models. Higher curve area indicates better performance on the positive (churned) class.</w:t>
      </w:r>
    </w:p>
    <w:p>
      <w:pPr>
        <w:pStyle w:val="Heading1"/>
        <w:spacing w:before="200" w:after="60"/>
      </w:pPr>
      <w:r>
        <w:rPr>
          <w:rFonts w:ascii="Calibri" w:hAnsi="Calibri"/>
          <w:color w:val="1A1A2E"/>
          <w:sz w:val="28"/>
        </w:rPr>
        <w:t>7. Churn &amp; Risk Analysis</w:t>
      </w:r>
    </w:p>
    <w:p>
      <w:pPr>
        <w:spacing w:before="0" w:after="80"/>
        <w:jc w:val="both"/>
      </w:pPr>
      <w:r>
        <w:rPr>
          <w:rFonts w:ascii="Calibri" w:hAnsi="Calibri"/>
          <w:b w:val="0"/>
          <w:i w:val="0"/>
          <w:sz w:val="22"/>
        </w:rPr>
        <w:t>After model selection, the best-model pipeline scores all 3,601 customers. Each customer receives a continuous churn probability in [0, 1] and is assigned to a risk tier.</w:t>
      </w:r>
    </w:p>
    <w:p>
      <w:pPr>
        <w:pStyle w:val="Heading2"/>
        <w:spacing w:before="120" w:after="60"/>
      </w:pPr>
      <w:r>
        <w:rPr>
          <w:rFonts w:ascii="Calibri" w:hAnsi="Calibri"/>
          <w:color w:val="16213E"/>
          <w:sz w:val="24"/>
        </w:rPr>
        <w:t>7.1  Risk Tier Distribution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728"/>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Risk Tier</w:t>
            </w:r>
          </w:p>
        </w:tc>
        <w:tc>
          <w:tcPr>
            <w:tcW w:type="dxa" w:w="2160"/>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Probability Range</w:t>
            </w:r>
          </w:p>
        </w:tc>
        <w:tc>
          <w:tcPr>
            <w:tcW w:type="dxa" w:w="1728"/>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Customers</w:t>
            </w:r>
          </w:p>
        </w:tc>
        <w:tc>
          <w:tcPr>
            <w:tcW w:type="dxa" w:w="1728"/>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 of Total</w:t>
            </w:r>
          </w:p>
        </w:tc>
        <w:tc>
          <w:tcPr>
            <w:tcW w:type="dxa" w:w="2880"/>
            <w:shd w:val="clear" w:color="auto" w:fill="1E213E"/>
            <w:vAlign w:val="center"/>
            <w:tcMar>
              <w:top w:w="40" w:type="dxa"/>
              <w:bottom w:w="40" w:type="dxa"/>
              <w:left w:w="80" w:type="dxa"/>
              <w:right w:w="80" w:type="dxa"/>
            </w:tcMar>
          </w:tcPr>
          <w:p>
            <w:pPr>
              <w:spacing w:before="0" w:after="0"/>
              <w:jc w:val="center"/>
            </w:pPr>
            <w:r>
              <w:rPr>
                <w:rFonts w:ascii="Calibri" w:hAnsi="Calibri"/>
                <w:b/>
                <w:i w:val="0"/>
                <w:color w:val="FFFFFF"/>
                <w:sz w:val="20"/>
              </w:rPr>
              <w:t>Colour Code</w:t>
            </w:r>
          </w:p>
        </w:tc>
      </w:tr>
      <w:tr>
        <w:tc>
          <w:tcPr>
            <w:tcW w:type="dxa" w:w="1728"/>
          </w:tcPr>
          <w:p/>
        </w:tc>
        <w:tc>
          <w:tcPr>
            <w:tcW w:type="dxa" w:w="2160"/>
          </w:tcPr>
          <w:p/>
        </w:tc>
        <w:tc>
          <w:tcPr>
            <w:tcW w:type="dxa" w:w="1728"/>
          </w:tcPr>
          <w:p/>
        </w:tc>
        <w:tc>
          <w:tcPr>
            <w:tcW w:type="dxa" w:w="1728"/>
          </w:tcPr>
          <w:p/>
        </w:tc>
        <w:tc>
          <w:tcPr>
            <w:tcW w:type="dxa" w:w="2880"/>
          </w:tcPr>
          <w:p/>
        </w:tc>
      </w:tr>
      <w:tr>
        <w:tc>
          <w:tcPr>
            <w:tcW w:type="dxa" w:w="1728"/>
          </w:tcPr>
          <w:p/>
        </w:tc>
        <w:tc>
          <w:tcPr>
            <w:tcW w:type="dxa" w:w="2160"/>
          </w:tcPr>
          <w:p/>
        </w:tc>
        <w:tc>
          <w:tcPr>
            <w:tcW w:type="dxa" w:w="1728"/>
          </w:tcPr>
          <w:p/>
        </w:tc>
        <w:tc>
          <w:tcPr>
            <w:tcW w:type="dxa" w:w="1728"/>
          </w:tcPr>
          <w:p/>
        </w:tc>
        <w:tc>
          <w:tcPr>
            <w:tcW w:type="dxa" w:w="2880"/>
          </w:tcPr>
          <w:p/>
        </w:tc>
      </w:tr>
      <w:tr>
        <w:tc>
          <w:tcPr>
            <w:tcW w:type="dxa" w:w="1728"/>
          </w:tcPr>
          <w:p/>
        </w:tc>
        <w:tc>
          <w:tcPr>
            <w:tcW w:type="dxa" w:w="2160"/>
          </w:tcPr>
          <w:p/>
        </w:tc>
        <w:tc>
          <w:tcPr>
            <w:tcW w:type="dxa" w:w="1728"/>
          </w:tcPr>
          <w:p/>
        </w:tc>
        <w:tc>
          <w:tcPr>
            <w:tcW w:type="dxa" w:w="1728"/>
          </w:tcPr>
          <w:p/>
        </w:tc>
        <w:tc>
          <w:tcPr>
            <w:tcW w:type="dxa" w:w="2880"/>
          </w:tcPr>
          <w:p/>
        </w:tc>
      </w:tr>
      <w:tr>
        <w:tc>
          <w:tcPr>
            <w:tcW w:type="dxa" w:w="172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HIGH</w:t>
            </w:r>
          </w:p>
        </w:tc>
        <w:tc>
          <w:tcPr>
            <w:tcW w:type="dxa" w:w="216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 0.66</w:t>
            </w:r>
          </w:p>
        </w:tc>
        <w:tc>
          <w:tcPr>
            <w:tcW w:type="dxa" w:w="172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1,045</w:t>
            </w:r>
          </w:p>
        </w:tc>
        <w:tc>
          <w:tcPr>
            <w:tcW w:type="dxa" w:w="172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29.0%</w:t>
            </w:r>
          </w:p>
        </w:tc>
        <w:tc>
          <w:tcPr>
            <w:tcW w:type="dxa" w:w="288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Red   #c0392b</w:t>
            </w:r>
          </w:p>
        </w:tc>
      </w:tr>
      <w:tr>
        <w:tc>
          <w:tcPr>
            <w:tcW w:type="dxa" w:w="172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MEDIUM</w:t>
            </w:r>
          </w:p>
        </w:tc>
        <w:tc>
          <w:tcPr>
            <w:tcW w:type="dxa" w:w="2160"/>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0.33 – 0.66</w:t>
            </w:r>
          </w:p>
        </w:tc>
        <w:tc>
          <w:tcPr>
            <w:tcW w:type="dxa" w:w="172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1,648</w:t>
            </w:r>
          </w:p>
        </w:tc>
        <w:tc>
          <w:tcPr>
            <w:tcW w:type="dxa" w:w="1728"/>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45.8%</w:t>
            </w:r>
          </w:p>
        </w:tc>
        <w:tc>
          <w:tcPr>
            <w:tcW w:type="dxa" w:w="2880"/>
            <w:shd w:val="clear" w:color="auto" w:fill="F7F8FA"/>
            <w:vAlign w:val="center"/>
            <w:tcMar>
              <w:top w:w="40" w:type="dxa"/>
              <w:bottom w:w="40" w:type="dxa"/>
              <w:left w:w="80" w:type="dxa"/>
              <w:right w:w="80" w:type="dxa"/>
            </w:tcMar>
          </w:tcPr>
          <w:p>
            <w:pPr>
              <w:spacing w:before="0" w:after="0"/>
              <w:jc w:val="center"/>
            </w:pPr>
            <w:r>
              <w:rPr>
                <w:rFonts w:ascii="Calibri" w:hAnsi="Calibri"/>
                <w:b w:val="0"/>
                <w:i w:val="0"/>
                <w:sz w:val="20"/>
              </w:rPr>
              <w:t>Amber #e67e22</w:t>
            </w:r>
          </w:p>
        </w:tc>
      </w:tr>
      <w:tr>
        <w:tc>
          <w:tcPr>
            <w:tcW w:type="dxa" w:w="172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LOW</w:t>
            </w:r>
          </w:p>
        </w:tc>
        <w:tc>
          <w:tcPr>
            <w:tcW w:type="dxa" w:w="216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&lt; 0.33</w:t>
            </w:r>
          </w:p>
        </w:tc>
        <w:tc>
          <w:tcPr>
            <w:tcW w:type="dxa" w:w="172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908</w:t>
            </w:r>
          </w:p>
        </w:tc>
        <w:tc>
          <w:tcPr>
            <w:tcW w:type="dxa" w:w="1728"/>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25.2%</w:t>
            </w:r>
          </w:p>
        </w:tc>
        <w:tc>
          <w:tcPr>
            <w:tcW w:type="dxa" w:w="2880"/>
            <w:shd w:val="clear" w:color="auto" w:fill="FFFFFF"/>
            <w:vAlign w:val="center"/>
            <w:tcMar>
              <w:top w:w="40" w:type="dxa"/>
              <w:bottom w:w="40" w:type="dxa"/>
              <w:left w:w="80" w:type="dxa"/>
              <w:right w:w="80" w:type="dxa"/>
            </w:tcMar>
          </w:tcPr>
          <w:p>
            <w:pPr>
              <w:spacing w:before="0" w:after="0"/>
              <w:jc w:val="center"/>
            </w:pPr>
            <w:r>
              <w:rPr>
                <w:rFonts w:ascii="Calibri" w:hAnsi="Calibri"/>
                <w:b w:val="0"/>
                <w:i w:val="0"/>
                <w:sz w:val="20"/>
              </w:rPr>
              <w:t>Green #27ae60</w:t>
            </w:r>
          </w:p>
        </w:tc>
      </w:tr>
    </w:tbl>
    <w:p>
      <w:pPr>
        <w:spacing w:before="0" w:after="80"/>
      </w:pPr>
    </w:p>
    <w:p>
      <w:pPr>
        <w:pStyle w:val="Heading2"/>
        <w:spacing w:before="120" w:after="60"/>
      </w:pPr>
      <w:r>
        <w:rPr>
          <w:rFonts w:ascii="Calibri" w:hAnsi="Calibri"/>
          <w:color w:val="16213E"/>
          <w:sz w:val="24"/>
        </w:rPr>
        <w:t>7.2  Risk Distribution Chart</w:t>
      </w:r>
    </w:p>
    <w:p>
      <w:pPr>
        <w:spacing w:before="80" w:after="40"/>
        <w:jc w:val="center"/>
      </w:pPr>
      <w:r>
        <w:drawing>
          <wp:inline xmlns:a="http://schemas.openxmlformats.org/drawingml/2006/main" xmlns:pic="http://schemas.openxmlformats.org/drawingml/2006/picture">
            <wp:extent cx="4114800" cy="4299134"/>
            <wp:docPr id="10" name="Picture 10"/>
            <wp:cNvGraphicFramePr>
              <a:graphicFrameLocks noChangeAspect="1"/>
            </wp:cNvGraphicFramePr>
            <a:graphic>
              <a:graphicData uri="http://schemas.openxmlformats.org/drawingml/2006/picture">
                <pic:pic>
                  <pic:nvPicPr>
                    <pic:cNvPr id="0" name="fig19_risk_distribution.png"/>
                    <pic:cNvPicPr/>
                  </pic:nvPicPr>
                  <pic:blipFill>
                    <a:blip r:embed="rId19"/>
                    <a:stretch>
                      <a:fillRect/>
                    </a:stretch>
                  </pic:blipFill>
                  <pic:spPr>
                    <a:xfrm>
                      <a:off x="0" y="0"/>
                      <a:ext cx="4114800" cy="4299134"/>
                    </a:xfrm>
                    <a:prstGeom prst="rect"/>
                  </pic:spPr>
                </pic:pic>
              </a:graphicData>
            </a:graphic>
          </wp:inline>
        </w:drawing>
      </w:r>
    </w:p>
    <w:p>
      <w:pPr>
        <w:spacing w:before="0" w:after="120"/>
        <w:jc w:val="center"/>
      </w:pPr>
      <w:r>
        <w:rPr>
          <w:rFonts w:ascii="Calibri" w:hAnsi="Calibri"/>
          <w:b w:val="0"/>
          <w:i/>
          <w:color w:val="505A64"/>
          <w:sz w:val="18"/>
        </w:rPr>
        <w:t>Fig. 9.  Predicted risk distribution across all 3,601 customers. HIGH: 1,045  |  MEDIUM: 1,648  |  LOW: 908.</w:t>
      </w:r>
    </w:p>
    <w:p>
      <w:pPr>
        <w:pStyle w:val="Heading2"/>
        <w:spacing w:before="120" w:after="60"/>
      </w:pPr>
      <w:r>
        <w:rPr>
          <w:rFonts w:ascii="Calibri" w:hAnsi="Calibri"/>
          <w:color w:val="16213E"/>
          <w:sz w:val="24"/>
        </w:rPr>
        <w:t>7.3  Feature Importances</w:t>
      </w:r>
    </w:p>
    <w:p>
      <w:pPr>
        <w:spacing w:before="80" w:after="40"/>
        <w:jc w:val="center"/>
      </w:pPr>
      <w:r>
        <w:drawing>
          <wp:inline xmlns:a="http://schemas.openxmlformats.org/drawingml/2006/main" xmlns:pic="http://schemas.openxmlformats.org/drawingml/2006/picture">
            <wp:extent cx="5303520" cy="3269602"/>
            <wp:docPr id="11" name="Picture 11"/>
            <wp:cNvGraphicFramePr>
              <a:graphicFrameLocks noChangeAspect="1"/>
            </wp:cNvGraphicFramePr>
            <a:graphic>
              <a:graphicData uri="http://schemas.openxmlformats.org/drawingml/2006/picture">
                <pic:pic>
                  <pic:nvPicPr>
                    <pic:cNvPr id="0" name="fig18_feature_importance.png"/>
                    <pic:cNvPicPr/>
                  </pic:nvPicPr>
                  <pic:blipFill>
                    <a:blip r:embed="rId20"/>
                    <a:stretch>
                      <a:fillRect/>
                    </a:stretch>
                  </pic:blipFill>
                  <pic:spPr>
                    <a:xfrm>
                      <a:off x="0" y="0"/>
                      <a:ext cx="5303520" cy="3269602"/>
                    </a:xfrm>
                    <a:prstGeom prst="rect"/>
                  </pic:spPr>
                </pic:pic>
              </a:graphicData>
            </a:graphic>
          </wp:inline>
        </w:drawing>
      </w:r>
    </w:p>
    <w:p>
      <w:pPr>
        <w:spacing w:before="0" w:after="120"/>
        <w:jc w:val="center"/>
      </w:pPr>
      <w:r>
        <w:rPr>
          <w:rFonts w:ascii="Calibri" w:hAnsi="Calibri"/>
          <w:b w:val="0"/>
          <w:i/>
          <w:color w:val="505A64"/>
          <w:sz w:val="18"/>
        </w:rPr>
        <w:t>Fig. 10.  Top feature importances from Logistic Regression. Recency-related features dominate, followed by frequency and last-90-day activity.</w:t>
      </w:r>
    </w:p>
    <w:p>
      <w:pPr>
        <w:spacing w:before="0" w:after="80"/>
        <w:jc w:val="both"/>
      </w:pPr>
      <w:r>
        <w:rPr>
          <w:rFonts w:ascii="Calibri" w:hAnsi="Calibri"/>
          <w:b w:val="0"/>
          <w:i w:val="0"/>
          <w:sz w:val="21"/>
        </w:rPr>
        <w:t>Recency-related features (recency_days, rfm_score) dominate the model's discriminatory power, followed by frequency metrics (purchases_last_90d, frequency). Return behaviour (return_rate) also contributes, indicating that customers with a higher return proportion are at elevated risk.</w:t>
      </w:r>
    </w:p>
    <w:p>
      <w:pPr>
        <w:pStyle w:val="Heading1"/>
        <w:spacing w:before="200" w:after="60"/>
      </w:pPr>
      <w:r>
        <w:rPr>
          <w:rFonts w:ascii="Calibri" w:hAnsi="Calibri"/>
          <w:color w:val="1A1A2E"/>
          <w:sz w:val="28"/>
        </w:rPr>
        <w:t>8. Key Findings &amp; Business Insights</w:t>
      </w:r>
    </w:p>
    <w:p>
      <w:pPr>
        <w:spacing w:before="0" w:after="80"/>
        <w:jc w:val="both"/>
      </w:pPr>
      <w:r>
        <w:rPr>
          <w:rFonts w:ascii="Calibri" w:hAnsi="Calibri"/>
          <w:b w:val="0"/>
          <w:i w:val="0"/>
          <w:sz w:val="22"/>
        </w:rPr>
        <w:t>The following four findings are derived directly from the actual computed results — they are observations from the data, not causal claims.</w:t>
      </w:r>
    </w:p>
    <w:p>
      <w:pPr>
        <w:spacing w:before="120" w:after="40"/>
      </w:pPr>
      <w:r>
        <w:rPr>
          <w:rFonts w:ascii="Calibri" w:hAnsi="Calibri"/>
          <w:b/>
          <w:i w:val="0"/>
          <w:sz w:val="22"/>
        </w:rPr>
        <w:t xml:space="preserve">Finding 1 — Recency Is the Strongest Churn Signal  —  </w:t>
      </w:r>
      <w:r>
        <w:rPr>
          <w:rFonts w:ascii="Calibri" w:hAnsi="Calibri"/>
          <w:b w:val="0"/>
          <w:i w:val="0"/>
          <w:sz w:val="22"/>
        </w:rPr>
        <w:t>Churned customers last purchased a median of 106 days before the snapshot vs. 37 days for retained — a gap of 69 days. Recency is also the top-ranked feature by model importance. Retailers should prioritise win-back campaigns targeting customers whose last purchase was more than ~60–70 days ago.</w:t>
      </w:r>
    </w:p>
    <w:p>
      <w:pPr>
        <w:spacing w:before="120" w:after="40"/>
      </w:pPr>
      <w:r>
        <w:rPr>
          <w:rFonts w:ascii="Calibri" w:hAnsi="Calibri"/>
          <w:b/>
          <w:i w:val="0"/>
          <w:sz w:val="22"/>
        </w:rPr>
        <w:t xml:space="preserve">Finding 2 — Frequency Separates Engaged From At-Risk Customers  —  </w:t>
      </w:r>
      <w:r>
        <w:rPr>
          <w:rFonts w:ascii="Calibri" w:hAnsi="Calibri"/>
          <w:b w:val="0"/>
          <w:i w:val="0"/>
          <w:sz w:val="22"/>
        </w:rPr>
        <w:t>Retained customers had a median of 3.0 distinct purchase dates vs. 1.0 for churned — a 3× difference. Customers who have made only a single purchase are disproportionately likely to churn. Incentivising a second purchase within 30 days of the first (e.g. loyalty discount) could meaningfully improve retention.</w:t>
      </w:r>
    </w:p>
    <w:p>
      <w:pPr>
        <w:spacing w:before="120" w:after="40"/>
      </w:pPr>
      <w:r>
        <w:rPr>
          <w:rFonts w:ascii="Calibri" w:hAnsi="Calibri"/>
          <w:b/>
          <w:i w:val="0"/>
          <w:sz w:val="22"/>
        </w:rPr>
        <w:t xml:space="preserve">Finding 3 — Revenue Is Significantly Higher for Retained Customers  —  </w:t>
      </w:r>
      <w:r>
        <w:rPr>
          <w:rFonts w:ascii="Calibri" w:hAnsi="Calibri"/>
          <w:b w:val="0"/>
          <w:i w:val="0"/>
          <w:sz w:val="22"/>
        </w:rPr>
        <w:t>Median lifetime revenue: £934 (retained) vs. £380 (churned) — a 2.5× multiple. High-monetary customers who have not transacted in 90+ days represent the highest-value churn risk and should be the first target for personalised retention outreach.</w:t>
      </w:r>
    </w:p>
    <w:p>
      <w:pPr>
        <w:spacing w:before="120" w:after="40"/>
      </w:pPr>
      <w:r>
        <w:rPr>
          <w:rFonts w:ascii="Calibri" w:hAnsi="Calibri"/>
          <w:b/>
          <w:i w:val="0"/>
          <w:sz w:val="22"/>
        </w:rPr>
        <w:t xml:space="preserve">Finding 4 — 1,045 Customers Are in the High-Risk Tier  —  </w:t>
      </w:r>
      <w:r>
        <w:rPr>
          <w:rFonts w:ascii="Calibri" w:hAnsi="Calibri"/>
          <w:b w:val="0"/>
          <w:i w:val="0"/>
          <w:sz w:val="22"/>
        </w:rPr>
        <w:t>The model assigns 1,045 customers (29.0%) to HIGH risk (probability ≥ 0.66) and 1,648 to MEDIUM risk. The Risk Explorer enables teams to export and act on this prioritised list directly, enabling targeted campaigns rather than broad-brush interventions.</w:t>
      </w:r>
    </w:p>
    <w:p>
      <w:pPr>
        <w:pStyle w:val="Heading1"/>
        <w:spacing w:before="200" w:after="60"/>
      </w:pPr>
      <w:r>
        <w:rPr>
          <w:rFonts w:ascii="Calibri" w:hAnsi="Calibri"/>
          <w:color w:val="1A1A2E"/>
          <w:sz w:val="28"/>
        </w:rPr>
        <w:t>9. Conclusion</w:t>
      </w:r>
    </w:p>
    <w:p>
      <w:pPr>
        <w:spacing w:before="0" w:after="80"/>
        <w:jc w:val="both"/>
      </w:pPr>
      <w:r>
        <w:rPr>
          <w:rFonts w:ascii="Calibri" w:hAnsi="Calibri"/>
          <w:b w:val="0"/>
          <w:i w:val="0"/>
          <w:sz w:val="22"/>
        </w:rPr>
        <w:t>CustomerPulse AI demonstrates that a well-structured, single-file Python application can deliver a complete, production-quality churn prediction pipeline — from raw transaction data to per-customer risk scores and SHAP explanations — with no manual intervention beyond uploading a CSV.</w:t>
      </w:r>
    </w:p>
    <w:p>
      <w:pPr>
        <w:spacing w:before="0" w:after="80"/>
        <w:jc w:val="both"/>
      </w:pPr>
      <w:r>
        <w:rPr>
          <w:rFonts w:ascii="Calibri" w:hAnsi="Calibri"/>
          <w:b w:val="0"/>
          <w:i w:val="0"/>
          <w:sz w:val="22"/>
        </w:rPr>
        <w:t>Applied to the UCI Online Retail dataset (541,909 rows, 4,334 customers), the platform models 3,601 customers and finds that 48.7% churned in the ~70-day post-snapshot window. Logistic Regression (CV ROC-AUC = 0.748, Test ROC-AUC = 0.737) is selected as the best model, achieving genuine discriminatory power on this near-balanced dataset.</w:t>
      </w:r>
    </w:p>
    <w:p>
      <w:pPr>
        <w:spacing w:before="0" w:after="80"/>
        <w:jc w:val="both"/>
      </w:pPr>
      <w:r>
        <w:rPr>
          <w:rFonts w:ascii="Calibri" w:hAnsi="Calibri"/>
          <w:b w:val="0"/>
          <w:i w:val="0"/>
          <w:sz w:val="22"/>
        </w:rPr>
        <w:t>The Risk Explorer surfaces 1,045 HIGH-risk and 1,648 MEDIUM-risk customers as immediately actionable retention targets. The platform's key finding is that recency is overwhelmingly the strongest churn predictor: churned customers last transacted a median of 106 days before the snapshot vs. 37 days for retained.</w:t>
      </w:r>
    </w:p>
    <w:p>
      <w:pPr>
        <w:pStyle w:val="Heading1"/>
        <w:spacing w:before="200" w:after="60"/>
      </w:pPr>
      <w:r>
        <w:rPr>
          <w:rFonts w:ascii="Calibri" w:hAnsi="Calibri"/>
          <w:color w:val="1A1A2E"/>
          <w:sz w:val="28"/>
        </w:rPr>
        <w:t>10. Future Scope</w:t>
      </w:r>
    </w:p>
    <w:p>
      <w:pPr>
        <w:pStyle w:val="ListBullet"/>
        <w:spacing w:before="0" w:after="40"/>
      </w:pPr>
      <w:r>
        <w:rPr>
          <w:rFonts w:ascii="Calibri" w:hAnsi="Calibri"/>
          <w:b w:val="0"/>
          <w:i w:val="0"/>
          <w:sz w:val="21"/>
        </w:rPr>
        <w:t>Configurable snapshot date and churn window via the Streamlit sidebar (currently hard-coded to 2011-09-30).</w:t>
      </w:r>
    </w:p>
    <w:p>
      <w:pPr>
        <w:pStyle w:val="ListBullet"/>
        <w:spacing w:before="0" w:after="40"/>
      </w:pPr>
      <w:r>
        <w:rPr>
          <w:rFonts w:ascii="Calibri" w:hAnsi="Calibri"/>
          <w:b w:val="0"/>
          <w:i w:val="0"/>
          <w:sz w:val="21"/>
        </w:rPr>
        <w:t>Hyperparameter optimisation (GridSearchCV / RandomizedSearchCV) to improve HistGradientBoosting performance.</w:t>
      </w:r>
    </w:p>
    <w:p>
      <w:pPr>
        <w:pStyle w:val="ListBullet"/>
        <w:spacing w:before="0" w:after="40"/>
      </w:pPr>
      <w:r>
        <w:rPr>
          <w:rFonts w:ascii="Calibri" w:hAnsi="Calibri"/>
          <w:b w:val="0"/>
          <w:i w:val="0"/>
          <w:sz w:val="21"/>
        </w:rPr>
        <w:t>Survival analysis (Cox proportional hazards) for time-to-churn modelling instead of binary labelling.</w:t>
      </w:r>
    </w:p>
    <w:p>
      <w:pPr>
        <w:pStyle w:val="ListBullet"/>
        <w:spacing w:before="0" w:after="40"/>
      </w:pPr>
      <w:r>
        <w:rPr>
          <w:rFonts w:ascii="Calibri" w:hAnsi="Calibri"/>
          <w:b w:val="0"/>
          <w:i w:val="0"/>
          <w:sz w:val="21"/>
        </w:rPr>
        <w:t>Customer Lifetime Value (CLV) integration to weight retention decisions by predicted revenue impact.</w:t>
      </w:r>
    </w:p>
    <w:p>
      <w:pPr>
        <w:pStyle w:val="ListBullet"/>
        <w:spacing w:before="0" w:after="40"/>
      </w:pPr>
      <w:r>
        <w:rPr>
          <w:rFonts w:ascii="Calibri" w:hAnsi="Calibri"/>
          <w:b w:val="0"/>
          <w:i w:val="0"/>
          <w:sz w:val="21"/>
        </w:rPr>
        <w:t>Cohort analysis: visualise churn rates by acquisition month and country.</w:t>
      </w:r>
    </w:p>
    <w:p>
      <w:pPr>
        <w:pStyle w:val="ListBullet"/>
        <w:spacing w:before="0" w:after="40"/>
      </w:pPr>
      <w:r>
        <w:rPr>
          <w:rFonts w:ascii="Calibri" w:hAnsi="Calibri"/>
          <w:b w:val="0"/>
          <w:i w:val="0"/>
          <w:sz w:val="21"/>
        </w:rPr>
        <w:t>CSV export of the full risk table, filtered by tier, for direct CRM / email campaign ingestion.</w:t>
      </w:r>
    </w:p>
    <w:p>
      <w:pPr>
        <w:pStyle w:val="ListBullet"/>
        <w:spacing w:before="0" w:after="40"/>
      </w:pPr>
      <w:r>
        <w:rPr>
          <w:rFonts w:ascii="Calibri" w:hAnsi="Calibri"/>
          <w:b w:val="0"/>
          <w:i w:val="0"/>
          <w:sz w:val="21"/>
        </w:rPr>
        <w:t>Automated re-training pipeline triggered by new data uploads.</w:t>
      </w:r>
    </w:p>
    <w:p>
      <w:pPr>
        <w:pStyle w:val="ListBullet"/>
        <w:spacing w:before="0" w:after="40"/>
      </w:pPr>
      <w:r>
        <w:rPr>
          <w:rFonts w:ascii="Calibri" w:hAnsi="Calibri"/>
          <w:b w:val="0"/>
          <w:i w:val="0"/>
          <w:sz w:val="21"/>
        </w:rPr>
        <w:t>Calibration curves and confidence intervals for churn probability estimates.</w:t>
      </w:r>
    </w:p>
    <w:p>
      <w:pPr>
        <w:pStyle w:val="Heading1"/>
        <w:spacing w:before="200" w:after="60"/>
      </w:pPr>
      <w:r>
        <w:rPr>
          <w:rFonts w:ascii="Calibri" w:hAnsi="Calibri"/>
          <w:color w:val="1A1A2E"/>
          <w:sz w:val="28"/>
        </w:rPr>
        <w:t>References</w:t>
      </w:r>
    </w:p>
    <w:p>
      <w:pPr>
        <w:spacing w:before="0" w:after="60"/>
      </w:pPr>
      <w:r>
        <w:rPr>
          <w:rFonts w:ascii="Calibri" w:hAnsi="Calibri"/>
          <w:b w:val="0"/>
          <w:i w:val="0"/>
          <w:sz w:val="20"/>
        </w:rPr>
        <w:t>[1]  Chen, D., Sain, S.L. &amp; Guo, K. (2012). Data mining for the online retail industry: A case study of RFM model-based customer segmentation. Journal of Database Marketing &amp; Customer Strategy Management, 19(3), 197–208.</w:t>
      </w:r>
    </w:p>
    <w:p>
      <w:pPr>
        <w:spacing w:before="0" w:after="60"/>
      </w:pPr>
      <w:r>
        <w:rPr>
          <w:rFonts w:ascii="Calibri" w:hAnsi="Calibri"/>
          <w:b w:val="0"/>
          <w:i w:val="0"/>
          <w:sz w:val="20"/>
        </w:rPr>
        <w:t>[2]  UCI Machine Learning Repository. Online Retail Dataset. Dua, D. and Graff, C. (2019). UCI Machine Learning Repository. Irvine, CA: University of California.</w:t>
      </w:r>
    </w:p>
    <w:p>
      <w:pPr>
        <w:spacing w:before="0" w:after="60"/>
      </w:pPr>
      <w:r>
        <w:rPr>
          <w:rFonts w:ascii="Calibri" w:hAnsi="Calibri"/>
          <w:b w:val="0"/>
          <w:i w:val="0"/>
          <w:sz w:val="20"/>
        </w:rPr>
        <w:t>[3]  Pedregosa, F. et al. (2011). Scikit-learn: Machine Learning in Python. Journal of Machine Learning Research, 12, 2825–2830.</w:t>
      </w:r>
    </w:p>
    <w:p>
      <w:pPr>
        <w:spacing w:before="0" w:after="60"/>
      </w:pPr>
      <w:r>
        <w:rPr>
          <w:rFonts w:ascii="Calibri" w:hAnsi="Calibri"/>
          <w:b w:val="0"/>
          <w:i w:val="0"/>
          <w:sz w:val="20"/>
        </w:rPr>
        <w:t>[4]  Lundberg, S.M. &amp; Lee, S.I. (2017). A Unified Approach to Interpreting Model Predictions. Advances in Neural Information Processing Systems, 30.</w:t>
      </w:r>
    </w:p>
    <w:p>
      <w:pPr>
        <w:spacing w:before="0" w:after="60"/>
      </w:pPr>
      <w:r>
        <w:rPr>
          <w:rFonts w:ascii="Calibri" w:hAnsi="Calibri"/>
          <w:b w:val="0"/>
          <w:i w:val="0"/>
          <w:sz w:val="20"/>
        </w:rPr>
        <w:t>[5]  Streamlit Inc. (2024). Streamlit — The fastest way to build and share data apps. https://streamlit.io</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46464"/>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