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704EA3">
      <w:pPr>
        <w:ind w:left="360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704EA3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071653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5A207C29" w:rsidR="00C9475D" w:rsidRPr="00071653" w:rsidRDefault="00C9475D" w:rsidP="00C9475D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C9475D">
      <w:pPr>
        <w:pStyle w:val="Paragrafoelenco"/>
        <w:ind w:left="1512"/>
      </w:pPr>
    </w:p>
    <w:p w14:paraId="3BAD61DB" w14:textId="77777777" w:rsidR="004E36F0" w:rsidRPr="004E36F0" w:rsidRDefault="004E36F0" w:rsidP="00A0007F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8D7AB0">
      <w:pPr>
        <w:pStyle w:val="Paragrafoelenco"/>
        <w:ind w:left="1512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8D7AB0">
      <w:pPr>
        <w:pStyle w:val="Paragrafoelenco"/>
        <w:ind w:left="1512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55C39051" w14:textId="33F9CA61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FCFAEE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548BADB9" w14:textId="7FB6B8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12667582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1E847EE4" w14:textId="076C2DA4" w:rsidR="00071653" w:rsidRPr="00B1044F" w:rsidRDefault="00071653" w:rsidP="00071653">
      <w:pPr>
        <w:ind w:left="792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</w:p>
    <w:p w14:paraId="5142D1B6" w14:textId="5C04A8A6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 </w:t>
      </w:r>
    </w:p>
    <w:p w14:paraId="7CEB72A4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7F4E0E8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0C030A60" w14:textId="6F99EE0B" w:rsidR="008D7AB0" w:rsidRP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6B87EACD" w:rsidR="008D7AB0" w:rsidRDefault="008D7AB0" w:rsidP="008D7AB0">
      <w:pPr>
        <w:pStyle w:val="Paragrafoelenco"/>
        <w:ind w:left="792"/>
        <w:rPr>
          <w:sz w:val="24"/>
          <w:szCs w:val="24"/>
        </w:rPr>
      </w:pPr>
    </w:p>
    <w:p w14:paraId="5847A026" w14:textId="4ED7BE60" w:rsidR="009A4851" w:rsidRDefault="009A4851" w:rsidP="008D7AB0">
      <w:pPr>
        <w:pStyle w:val="Paragrafoelenco"/>
        <w:ind w:left="792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</w:p>
    <w:p w14:paraId="3A0E2869" w14:textId="77777777" w:rsidR="009A4851" w:rsidRDefault="009A4851" w:rsidP="009A4851">
      <w:pPr>
        <w:pStyle w:val="Paragrafoelenco"/>
        <w:ind w:left="792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9A4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38D76ABF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B26E29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37E7C1A1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752D55">
      <w:pPr>
        <w:pStyle w:val="Paragrafoelenco"/>
        <w:ind w:left="1512"/>
        <w:rPr>
          <w:sz w:val="24"/>
          <w:szCs w:val="24"/>
        </w:rPr>
      </w:pPr>
    </w:p>
    <w:p w14:paraId="3C3ACF07" w14:textId="42508F02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50E5FB1" w14:textId="2F4F6A71" w:rsidR="00752D55" w:rsidRP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6335B03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48E7700F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Metodi:</w:t>
      </w:r>
    </w:p>
    <w:p w14:paraId="59FB7EAE" w14:textId="2C107E80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60A4F5C7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752D55">
      <w:pPr>
        <w:pStyle w:val="Paragrafoelenco"/>
        <w:ind w:left="2232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752D55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752D55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691F4C95" w14:textId="77777777" w:rsidR="00AB35D6" w:rsidRDefault="00752D55" w:rsidP="00752D55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6EADEA5D" w14:textId="384B2A9E" w:rsidR="00752D55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36AEB42F" w14:textId="67433F2C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9DB5B7F" w14:textId="0F51C8D1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4F91BDCF" w14:textId="77777777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596A2B3" w14:textId="77777777" w:rsidR="00AB35D6" w:rsidRDefault="00AB35D6" w:rsidP="00AB35D6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35D6">
        <w:rPr>
          <w:sz w:val="24"/>
          <w:szCs w:val="24"/>
        </w:rPr>
        <w:lastRenderedPageBreak/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45657FC" w14:textId="42C8B55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0288768E" w:rsidR="00AB35D6" w:rsidRP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</w:p>
    <w:p w14:paraId="3C9081B8" w14:textId="0ECD56B9" w:rsid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pagine HTML 5 </w:t>
      </w:r>
    </w:p>
    <w:p w14:paraId="7684B9BE" w14:textId="77777777" w:rsidR="007E16BB" w:rsidRP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</w:p>
    <w:p w14:paraId="4167FD56" w14:textId="5CD69340" w:rsidR="007E16BB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7E16BB">
      <w:pPr>
        <w:pStyle w:val="Paragrafoelenco"/>
        <w:spacing w:line="240" w:lineRule="auto"/>
        <w:ind w:left="1428"/>
        <w:rPr>
          <w:sz w:val="24"/>
          <w:szCs w:val="24"/>
        </w:rPr>
      </w:pPr>
    </w:p>
    <w:p w14:paraId="105A5901" w14:textId="77777777" w:rsidR="007E16BB" w:rsidRPr="007E16BB" w:rsidRDefault="007E16BB" w:rsidP="007E16BB">
      <w:pPr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0AEB9CC7" w:rsidR="00867DAF" w:rsidRDefault="00867DAF" w:rsidP="00867DAF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12314AFB" w14:textId="08164206" w:rsidR="00867DAF" w:rsidRPr="00867DAF" w:rsidRDefault="00867DAF" w:rsidP="00867DAF">
      <w:pPr>
        <w:ind w:left="708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27211D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568B03BA" w14:textId="43DBE121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65587798" w14:textId="77777777" w:rsidR="0027211D" w:rsidRDefault="0027211D" w:rsidP="0027211D">
      <w:pPr>
        <w:pStyle w:val="Paragrafoelenco"/>
        <w:ind w:left="2208"/>
        <w:rPr>
          <w:sz w:val="24"/>
          <w:szCs w:val="24"/>
        </w:rPr>
      </w:pPr>
    </w:p>
    <w:p w14:paraId="3D0AE163" w14:textId="747025F9" w:rsidR="0027211D" w:rsidRDefault="0027211D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DF4F2D7" w14:textId="11A8A18C" w:rsidR="00FD0F0E" w:rsidRDefault="00FD0F0E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0D4A29D7" w14:textId="1AE8DAA7" w:rsidR="00FD0F0E" w:rsidRDefault="00FD0F0E" w:rsidP="00FD0F0E">
      <w:pPr>
        <w:rPr>
          <w:b/>
          <w:bCs/>
          <w:sz w:val="28"/>
          <w:szCs w:val="28"/>
        </w:rPr>
      </w:pPr>
    </w:p>
    <w:p w14:paraId="7218EA91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61B5569" w14:textId="37218EF6" w:rsidR="00FD0F0E" w:rsidRDefault="00FD0F0E" w:rsidP="00FD0F0E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1D763DA0" w14:textId="77777777" w:rsidR="002974E6" w:rsidRDefault="002974E6" w:rsidP="002974E6">
      <w:pPr>
        <w:pStyle w:val="Paragrafoelenco"/>
        <w:ind w:left="360"/>
        <w:rPr>
          <w:b/>
          <w:bCs/>
          <w:sz w:val="32"/>
          <w:szCs w:val="32"/>
        </w:rPr>
      </w:pPr>
      <w:bookmarkStart w:id="1" w:name="_GoBack"/>
      <w:bookmarkEnd w:id="1"/>
    </w:p>
    <w:p w14:paraId="6433ED40" w14:textId="77777777" w:rsidR="002974E6" w:rsidRDefault="002974E6" w:rsidP="00FD0F0E">
      <w:pPr>
        <w:pStyle w:val="Paragrafoelenco"/>
        <w:ind w:left="360"/>
      </w:pPr>
      <w:r>
        <w:t xml:space="preserve">La decomposizione dei sottosistemi in package è la seguente: </w:t>
      </w:r>
    </w:p>
    <w:p w14:paraId="46840887" w14:textId="3EF1FAEB" w:rsidR="00FD0F0E" w:rsidRPr="00FD0F0E" w:rsidRDefault="002974E6" w:rsidP="00FD0F0E">
      <w:pPr>
        <w:pStyle w:val="Paragrafoelenco"/>
        <w:ind w:left="360"/>
        <w:rPr>
          <w:b/>
          <w:bCs/>
          <w:sz w:val="24"/>
          <w:szCs w:val="24"/>
        </w:rPr>
      </w:pPr>
      <w:r>
        <w:t xml:space="preserve">• Il package controller contiene al suo interno le </w:t>
      </w:r>
      <w:proofErr w:type="spellStart"/>
      <w:r>
        <w:t>servlet</w:t>
      </w:r>
      <w:proofErr w:type="spellEnd"/>
      <w:r>
        <w:t xml:space="preserve"> che rappresentano i servizi offerti dai sottosistemi Authentication management, Work Management, </w:t>
      </w:r>
      <w:proofErr w:type="spellStart"/>
      <w:r>
        <w:t>Employee</w:t>
      </w:r>
      <w:proofErr w:type="spellEnd"/>
      <w:r>
        <w:t xml:space="preserve"> Management, </w:t>
      </w:r>
      <w:proofErr w:type="spellStart"/>
      <w:r>
        <w:t>Planimetry</w:t>
      </w:r>
      <w:proofErr w:type="spellEnd"/>
      <w:r>
        <w:t xml:space="preserve"> Management, Manager Management, </w:t>
      </w:r>
      <w:proofErr w:type="spellStart"/>
      <w:r>
        <w:t>Communication</w:t>
      </w:r>
      <w:proofErr w:type="spellEnd"/>
      <w:r>
        <w:t xml:space="preserve"> Management, Project Management del </w:t>
      </w:r>
      <w:proofErr w:type="spellStart"/>
      <w:r>
        <w:t>layer</w:t>
      </w:r>
      <w:proofErr w:type="spellEnd"/>
      <w:r>
        <w:t xml:space="preserve"> control, individuati nel SDD. • Il package model contiene al suo interno le </w:t>
      </w:r>
      <w:proofErr w:type="spellStart"/>
      <w:r>
        <w:t>jpa</w:t>
      </w:r>
      <w:proofErr w:type="spellEnd"/>
      <w:r>
        <w:t xml:space="preserve"> che rappresentano i servizi offerti dal sottosistema Archive del </w:t>
      </w:r>
      <w:proofErr w:type="spellStart"/>
      <w:r>
        <w:t>layer</w:t>
      </w:r>
      <w:proofErr w:type="spellEnd"/>
      <w:r>
        <w:t xml:space="preserve"> model, individuato nel SDD. • Il package </w:t>
      </w:r>
      <w:proofErr w:type="spellStart"/>
      <w:r>
        <w:t>webapp</w:t>
      </w:r>
      <w:proofErr w:type="spellEnd"/>
      <w:r>
        <w:t xml:space="preserve"> rappresenta i servizi offerti dai sottosistemi GUI User, GUI </w:t>
      </w:r>
      <w:proofErr w:type="spellStart"/>
      <w:r>
        <w:t>Employee</w:t>
      </w:r>
      <w:proofErr w:type="spellEnd"/>
      <w:r>
        <w:t xml:space="preserve">, GUI Manager, GUI Admin del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view</w:t>
      </w:r>
      <w:proofErr w:type="spellEnd"/>
      <w:r>
        <w:t>, individuati nel SDD.</w:t>
      </w:r>
    </w:p>
    <w:p w14:paraId="08816AFC" w14:textId="77777777" w:rsidR="00FD0F0E" w:rsidRPr="00FD0F0E" w:rsidRDefault="00FD0F0E" w:rsidP="00FD0F0E">
      <w:pPr>
        <w:pStyle w:val="Paragrafoelenco"/>
        <w:ind w:left="360"/>
        <w:rPr>
          <w:sz w:val="24"/>
          <w:szCs w:val="24"/>
        </w:rPr>
      </w:pPr>
    </w:p>
    <w:p w14:paraId="2106A9EE" w14:textId="77777777" w:rsidR="0027211D" w:rsidRPr="00FD0F0E" w:rsidRDefault="0027211D" w:rsidP="0027211D">
      <w:pPr>
        <w:pStyle w:val="Paragrafoelenco"/>
        <w:ind w:left="792"/>
        <w:rPr>
          <w:b/>
          <w:bCs/>
          <w:sz w:val="28"/>
          <w:szCs w:val="28"/>
        </w:rPr>
      </w:pPr>
    </w:p>
    <w:p w14:paraId="5967B091" w14:textId="77777777" w:rsidR="007E16BB" w:rsidRPr="00752D55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</w:p>
    <w:sectPr w:rsidR="007E16BB" w:rsidRPr="00752D5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B5025" w14:textId="77777777" w:rsidR="00D118B0" w:rsidRDefault="00D118B0" w:rsidP="007515F0">
      <w:pPr>
        <w:spacing w:after="0" w:line="240" w:lineRule="auto"/>
      </w:pPr>
      <w:r>
        <w:separator/>
      </w:r>
    </w:p>
  </w:endnote>
  <w:endnote w:type="continuationSeparator" w:id="0">
    <w:p w14:paraId="31451385" w14:textId="77777777" w:rsidR="00D118B0" w:rsidRDefault="00D118B0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48313" w14:textId="77777777" w:rsidR="00D118B0" w:rsidRDefault="00D118B0" w:rsidP="007515F0">
      <w:pPr>
        <w:spacing w:after="0" w:line="240" w:lineRule="auto"/>
      </w:pPr>
      <w:r>
        <w:separator/>
      </w:r>
    </w:p>
  </w:footnote>
  <w:footnote w:type="continuationSeparator" w:id="0">
    <w:p w14:paraId="0DEE5775" w14:textId="77777777" w:rsidR="00D118B0" w:rsidRDefault="00D118B0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71EBA"/>
    <w:rsid w:val="0027211D"/>
    <w:rsid w:val="002974E6"/>
    <w:rsid w:val="004D1ECC"/>
    <w:rsid w:val="004E36F0"/>
    <w:rsid w:val="00551493"/>
    <w:rsid w:val="00704EA3"/>
    <w:rsid w:val="007515F0"/>
    <w:rsid w:val="00752D55"/>
    <w:rsid w:val="007E16BB"/>
    <w:rsid w:val="00867DAF"/>
    <w:rsid w:val="00880ABE"/>
    <w:rsid w:val="008D7AB0"/>
    <w:rsid w:val="008F3557"/>
    <w:rsid w:val="009A4851"/>
    <w:rsid w:val="00A0007F"/>
    <w:rsid w:val="00AB35D6"/>
    <w:rsid w:val="00AD3655"/>
    <w:rsid w:val="00C9475D"/>
    <w:rsid w:val="00D118B0"/>
    <w:rsid w:val="00DD0C9B"/>
    <w:rsid w:val="00ED5D32"/>
    <w:rsid w:val="00F67D02"/>
    <w:rsid w:val="00F70180"/>
    <w:rsid w:val="00F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F6D2-C9F6-456E-B1CF-1648B418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7</cp:revision>
  <dcterms:created xsi:type="dcterms:W3CDTF">2019-12-15T17:42:00Z</dcterms:created>
  <dcterms:modified xsi:type="dcterms:W3CDTF">2019-12-17T10:39:00Z</dcterms:modified>
</cp:coreProperties>
</file>