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left"/>
      </w:pPr>
      <w:r>
        <w:rPr>
          <w:rFonts w:ascii="Calibri" w:hAnsi="Calibri"/>
          <w:b/>
          <w:color w:val="102C57"/>
          <w:sz w:val="44"/>
        </w:rPr>
        <w:t>Power BI Assignment 1: Data Transformation &amp; Modeling</w:t>
      </w:r>
    </w:p>
    <w:p>
      <w:pPr>
        <w:spacing w:before="0" w:after="320"/>
      </w:pPr>
      <w:r>
        <w:rPr>
          <w:rFonts w:ascii="Calibri" w:hAnsi="Calibri"/>
          <w:i/>
          <w:color w:val="6C757D"/>
          <w:sz w:val="24"/>
        </w:rPr>
        <w:t>E-Commerce Sales Analysis — Standard Operating Documentation</w:t>
      </w:r>
    </w:p>
    <w:p>
      <w:pPr>
        <w:keepNext/>
        <w:spacing w:before="320" w:after="120"/>
        <w:pBdr>
          <w:bottom w:val="single" w:sz="12" w:space="4" w:color="35598E"/>
        </w:pBdr>
      </w:pPr>
      <w:r>
        <w:rPr>
          <w:rFonts w:ascii="Calibri" w:hAnsi="Calibri"/>
          <w:b/>
          <w:color w:val="102C57"/>
          <w:sz w:val="32"/>
        </w:rPr>
        <w:t>1. Executive Overview &amp; Data Ingestion</w:t>
      </w:r>
    </w:p>
    <w:p>
      <w:pPr>
        <w:spacing w:before="0" w:after="80" w:line="276" w:lineRule="auto"/>
      </w:pPr>
      <w:r>
        <w:rPr>
          <w:rFonts w:ascii="Calibri" w:hAnsi="Calibri"/>
          <w:color w:val="212529"/>
          <w:sz w:val="22"/>
        </w:rPr>
        <w:t>This documentation details the step-by-step technical implementation completed for Power BI Assignment 1 (E-Commerce Sales Analysis). The project establishes an end-to-end data pipeline from raw file ingestion, ETL data cleanup, custom column logic, and table aggregations to building an active relational star-schema data model.</w:t>
      </w:r>
    </w:p>
    <w:p>
      <w:pPr>
        <w:keepNext/>
        <w:spacing w:before="240" w:after="80"/>
      </w:pPr>
      <w:r>
        <w:rPr>
          <w:rFonts w:ascii="Calibri" w:hAnsi="Calibri"/>
          <w:b/>
          <w:color w:val="35598E"/>
          <w:sz w:val="26"/>
        </w:rPr>
        <w:t>1.1 Source Datasets Ingested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12529"/>
          <w:sz w:val="21"/>
        </w:rPr>
        <w:t xml:space="preserve">List of Orders.csv: </w:t>
      </w:r>
      <w:r>
        <w:rPr>
          <w:rFonts w:ascii="Calibri" w:hAnsi="Calibri"/>
          <w:color w:val="212529"/>
          <w:sz w:val="21"/>
        </w:rPr>
        <w:t>Primary dataset containing transactional order attributes, customer details, order dates, and geographic locations.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12529"/>
          <w:sz w:val="21"/>
        </w:rPr>
        <w:t xml:space="preserve">Order Details.csv: </w:t>
      </w:r>
      <w:r>
        <w:rPr>
          <w:rFonts w:ascii="Calibri" w:hAnsi="Calibri"/>
          <w:color w:val="212529"/>
          <w:sz w:val="21"/>
        </w:rPr>
        <w:t>Granular detail table containing sales amounts, profit metrics, product quantities, categories, and sub-categories.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12529"/>
          <w:sz w:val="21"/>
        </w:rPr>
        <w:t xml:space="preserve">Sales target.csv: </w:t>
      </w:r>
      <w:r>
        <w:rPr>
          <w:rFonts w:ascii="Calibri" w:hAnsi="Calibri"/>
          <w:color w:val="212529"/>
          <w:sz w:val="21"/>
        </w:rPr>
        <w:t>Target benchmark dataset specifying monthly sales targets mapped across product categories.</w:t>
      </w:r>
    </w:p>
    <w:p>
      <w:pPr>
        <w:keepNext/>
        <w:spacing w:before="320" w:after="120"/>
        <w:pBdr>
          <w:bottom w:val="single" w:sz="12" w:space="4" w:color="35598E"/>
        </w:pBdr>
      </w:pPr>
      <w:r>
        <w:rPr>
          <w:rFonts w:ascii="Calibri" w:hAnsi="Calibri"/>
          <w:b/>
          <w:color w:val="102C57"/>
          <w:sz w:val="32"/>
        </w:rPr>
        <w:t>2. Power Query Data Transformation (ETL)</w:t>
      </w:r>
    </w:p>
    <w:p>
      <w:pPr>
        <w:spacing w:before="0" w:after="80" w:line="276" w:lineRule="auto"/>
      </w:pPr>
      <w:r>
        <w:rPr>
          <w:rFonts w:ascii="Calibri" w:hAnsi="Calibri"/>
          <w:color w:val="212529"/>
          <w:sz w:val="22"/>
        </w:rPr>
        <w:t>All initial data preparation steps were executed within the Power Query Editor to ensure robust data hygiene and consistency: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12529"/>
          <w:sz w:val="21"/>
        </w:rPr>
        <w:t xml:space="preserve">Row Restriction: </w:t>
      </w:r>
      <w:r>
        <w:rPr>
          <w:rFonts w:ascii="Calibri" w:hAnsi="Calibri"/>
          <w:color w:val="212529"/>
          <w:sz w:val="21"/>
        </w:rPr>
        <w:t>Filtered the 'List of Orders' table to retain strictly the first 500 rows (Table.FirstN(#"Previous Step", 500)) as per assignment constraints.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12529"/>
          <w:sz w:val="21"/>
        </w:rPr>
        <w:t xml:space="preserve">Data Type Standardizations: </w:t>
      </w:r>
      <w:r>
        <w:rPr>
          <w:rFonts w:ascii="Calibri" w:hAnsi="Calibri"/>
          <w:color w:val="212529"/>
          <w:sz w:val="21"/>
        </w:rPr>
        <w:t>Converted 'Order Date' in 'List of Orders' to 'Date'. Changed 'Amount' (Order Details) and 'Target' (Sales target) to 'Fixed Decimal Number' (Currency format).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12529"/>
          <w:sz w:val="21"/>
        </w:rPr>
        <w:t xml:space="preserve">Text Normalization: </w:t>
      </w:r>
      <w:r>
        <w:rPr>
          <w:rFonts w:ascii="Calibri" w:hAnsi="Calibri"/>
          <w:color w:val="212529"/>
          <w:sz w:val="21"/>
        </w:rPr>
        <w:t>Formatted the 'CustomerName' column into Proper Case (Capitalize Each Word) to eliminate inconsistent naming conventions.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12529"/>
          <w:sz w:val="21"/>
        </w:rPr>
        <w:t xml:space="preserve">Geographic Merging: </w:t>
      </w:r>
      <w:r>
        <w:rPr>
          <w:rFonts w:ascii="Calibri" w:hAnsi="Calibri"/>
          <w:color w:val="212529"/>
          <w:sz w:val="21"/>
        </w:rPr>
        <w:t>Created a new consolidated column named 'Location' by merging 'City' and 'State' using a comma separator (Format: 'City, State').</w:t>
      </w:r>
    </w:p>
    <w:p>
      <w:pPr>
        <w:keepNext/>
        <w:spacing w:before="240" w:after="80"/>
      </w:pPr>
      <w:r>
        <w:rPr>
          <w:rFonts w:ascii="Calibri" w:hAnsi="Calibri"/>
          <w:b/>
          <w:color w:val="35598E"/>
          <w:sz w:val="26"/>
        </w:rPr>
        <w:t>2.1 Custom &amp; Conditional Business Logic</w:t>
      </w:r>
    </w:p>
    <w:p>
      <w:pPr>
        <w:spacing w:before="0" w:after="80" w:line="276" w:lineRule="auto"/>
      </w:pPr>
      <w:r>
        <w:rPr>
          <w:rFonts w:ascii="Calibri" w:hAnsi="Calibri"/>
          <w:color w:val="212529"/>
          <w:sz w:val="22"/>
        </w:rPr>
        <w:t>To support downstream analytics and financial reporting, custom calculated columns were added in Power Query: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12529"/>
          <w:sz w:val="21"/>
        </w:rPr>
        <w:t xml:space="preserve">Profit Margin (Custom Column): </w:t>
      </w:r>
      <w:r>
        <w:rPr>
          <w:rFonts w:ascii="Calibri" w:hAnsi="Calibri"/>
          <w:color w:val="212529"/>
          <w:sz w:val="21"/>
        </w:rPr>
        <w:t>Calculated as Profit divided by Amount, formatted as a Percentage: Profit Margin = [Profit] / [Amount].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12529"/>
          <w:sz w:val="21"/>
        </w:rPr>
        <w:t xml:space="preserve">Profit Status (Conditional Logic): </w:t>
      </w:r>
      <w:r>
        <w:rPr>
          <w:rFonts w:ascii="Calibri" w:hAnsi="Calibri"/>
          <w:color w:val="212529"/>
          <w:sz w:val="21"/>
        </w:rPr>
        <w:t>Segmented profitability outcomes into discrete categorical flags using conditional branching: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168"/>
            <w:shd w:fill="102C5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Condition / Value</w:t>
            </w:r>
          </w:p>
        </w:tc>
        <w:tc>
          <w:tcPr>
            <w:tcW w:type="dxa" w:w="2592"/>
            <w:shd w:fill="102C5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Assigned Label</w:t>
            </w:r>
          </w:p>
        </w:tc>
        <w:tc>
          <w:tcPr>
            <w:tcW w:type="dxa" w:w="4032"/>
            <w:shd w:fill="102C5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Business Context</w:t>
            </w:r>
          </w:p>
        </w:tc>
      </w:tr>
      <w:tr>
        <w:tc>
          <w:tcPr>
            <w:tcW w:type="dxa" w:w="3168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212529"/>
                <w:sz w:val="19"/>
              </w:rPr>
              <w:t>Profit &lt; 0</w:t>
            </w:r>
          </w:p>
        </w:tc>
        <w:tc>
          <w:tcPr>
            <w:tcW w:type="dxa" w:w="2592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212529"/>
                <w:sz w:val="19"/>
              </w:rPr>
              <w:t>Loss</w:t>
            </w:r>
          </w:p>
        </w:tc>
        <w:tc>
          <w:tcPr>
            <w:tcW w:type="dxa" w:w="4032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212529"/>
                <w:sz w:val="19"/>
              </w:rPr>
              <w:t>Unprofitable orders requiring cost or pricing review.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212529"/>
                <w:sz w:val="19"/>
              </w:rPr>
              <w:t>Profit == 0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212529"/>
                <w:sz w:val="19"/>
              </w:rPr>
              <w:t>Break-Even</w:t>
            </w:r>
          </w:p>
        </w:tc>
        <w:tc>
          <w:tcPr>
            <w:tcW w:type="dxa" w:w="403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212529"/>
                <w:sz w:val="19"/>
              </w:rPr>
              <w:t>Transactions with zero net gain/loss.</w:t>
            </w:r>
          </w:p>
        </w:tc>
      </w:tr>
      <w:tr>
        <w:tc>
          <w:tcPr>
            <w:tcW w:type="dxa" w:w="3168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212529"/>
                <w:sz w:val="19"/>
              </w:rPr>
              <w:t>Profit &gt; 0</w:t>
            </w:r>
          </w:p>
        </w:tc>
        <w:tc>
          <w:tcPr>
            <w:tcW w:type="dxa" w:w="2592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212529"/>
                <w:sz w:val="19"/>
              </w:rPr>
              <w:t>Profit</w:t>
            </w:r>
          </w:p>
        </w:tc>
        <w:tc>
          <w:tcPr>
            <w:tcW w:type="dxa" w:w="4032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212529"/>
                <w:sz w:val="19"/>
              </w:rPr>
              <w:t>Profitable orders contributing positively to margin.</w:t>
            </w:r>
          </w:p>
        </w:tc>
      </w:tr>
    </w:tbl>
    <w:p>
      <w:pPr>
        <w:spacing w:after="120"/>
      </w:pPr>
    </w:p>
    <w:p>
      <w:pPr>
        <w:keepNext/>
        <w:spacing w:before="320" w:after="120"/>
        <w:pBdr>
          <w:bottom w:val="single" w:sz="12" w:space="4" w:color="35598E"/>
        </w:pBdr>
      </w:pPr>
      <w:r>
        <w:rPr>
          <w:rFonts w:ascii="Calibri" w:hAnsi="Calibri"/>
          <w:b/>
          <w:color w:val="102C57"/>
          <w:sz w:val="32"/>
        </w:rPr>
        <w:t>3. Data Merging &amp; Quality Assurance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12529"/>
          <w:sz w:val="21"/>
        </w:rPr>
        <w:t xml:space="preserve">Table Joins (Orders Data): </w:t>
      </w:r>
      <w:r>
        <w:rPr>
          <w:rFonts w:ascii="Calibri" w:hAnsi="Calibri"/>
          <w:color w:val="212529"/>
          <w:sz w:val="21"/>
        </w:rPr>
        <w:t>Merged 'List of Orders' and 'Order Details' tables on the common 'Order ID' key using a Left Outer Join into a unified model table named 'Orders Data'.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12529"/>
          <w:sz w:val="21"/>
        </w:rPr>
        <w:t xml:space="preserve">Duplicate Removal: </w:t>
      </w:r>
      <w:r>
        <w:rPr>
          <w:rFonts w:ascii="Calibri" w:hAnsi="Calibri"/>
          <w:color w:val="212529"/>
          <w:sz w:val="21"/>
        </w:rPr>
        <w:t>Executed duplicate removal (Table.Distinct) on key identifier columns to prevent double-counting of transactional records.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12529"/>
          <w:sz w:val="21"/>
        </w:rPr>
        <w:t xml:space="preserve">Missing Value Handling: </w:t>
      </w:r>
      <w:r>
        <w:rPr>
          <w:rFonts w:ascii="Calibri" w:hAnsi="Calibri"/>
          <w:color w:val="212529"/>
          <w:sz w:val="21"/>
        </w:rPr>
        <w:t>Identified null values across fields; filtered non-conforming null 'Order ID' records and sanitized missing numerical metrics to default '0'.</w:t>
      </w:r>
    </w:p>
    <w:p>
      <w:pPr>
        <w:keepNext/>
        <w:spacing w:before="320" w:after="120"/>
        <w:pBdr>
          <w:bottom w:val="single" w:sz="12" w:space="4" w:color="35598E"/>
        </w:pBdr>
      </w:pPr>
      <w:r>
        <w:rPr>
          <w:rFonts w:ascii="Calibri" w:hAnsi="Calibri"/>
          <w:b/>
          <w:color w:val="102C57"/>
          <w:sz w:val="32"/>
        </w:rPr>
        <w:t>4. Analytical Grouping, Filtering &amp; Aggregations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12529"/>
          <w:sz w:val="21"/>
        </w:rPr>
        <w:t xml:space="preserve">Sorting Trends: </w:t>
      </w:r>
      <w:r>
        <w:rPr>
          <w:rFonts w:ascii="Calibri" w:hAnsi="Calibri"/>
          <w:color w:val="212529"/>
          <w:sz w:val="21"/>
        </w:rPr>
        <w:t>Sorted 'Orders Data' by 'Order Date' in Descending order to prioritize recent trend evaluation.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12529"/>
          <w:sz w:val="21"/>
        </w:rPr>
        <w:t xml:space="preserve">Regional Filtering: </w:t>
      </w:r>
      <w:r>
        <w:rPr>
          <w:rFonts w:ascii="Calibri" w:hAnsi="Calibri"/>
          <w:color w:val="212529"/>
          <w:sz w:val="21"/>
        </w:rPr>
        <w:t>Applied targeted regional filtering on 'State' (e.g., Tamil Nadu) to conduct micro-level geographic performance reviews.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12529"/>
          <w:sz w:val="21"/>
        </w:rPr>
        <w:t xml:space="preserve">Order Details Summary Table: </w:t>
      </w:r>
      <w:r>
        <w:rPr>
          <w:rFonts w:ascii="Calibri" w:hAnsi="Calibri"/>
          <w:color w:val="212529"/>
          <w:sz w:val="21"/>
        </w:rPr>
        <w:t>Duplicated 'Order Details' table to calculate total order count (COUNT of Order ID), average profit grouped by Category, and total sales amount grouped by Sub-Category.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12529"/>
          <w:sz w:val="21"/>
        </w:rPr>
        <w:t xml:space="preserve">Sales Target Aggregations: </w:t>
      </w:r>
      <w:r>
        <w:rPr>
          <w:rFonts w:ascii="Calibri" w:hAnsi="Calibri"/>
          <w:color w:val="212529"/>
          <w:sz w:val="21"/>
        </w:rPr>
        <w:t>Duplicated 'Sales Target' table and aggregated target targets by 'Month of Order Date'.</w:t>
      </w:r>
    </w:p>
    <w:p>
      <w:pPr>
        <w:keepNext/>
        <w:spacing w:before="320" w:after="120"/>
        <w:pBdr>
          <w:bottom w:val="single" w:sz="12" w:space="4" w:color="35598E"/>
        </w:pBdr>
      </w:pPr>
      <w:r>
        <w:rPr>
          <w:rFonts w:ascii="Calibri" w:hAnsi="Calibri"/>
          <w:b/>
          <w:color w:val="102C57"/>
          <w:sz w:val="32"/>
        </w:rPr>
        <w:t>5. Relational Data Modeling</w:t>
      </w:r>
    </w:p>
    <w:p>
      <w:pPr>
        <w:spacing w:before="0" w:after="80" w:line="276" w:lineRule="auto"/>
      </w:pPr>
      <w:r>
        <w:rPr>
          <w:rFonts w:ascii="Calibri" w:hAnsi="Calibri"/>
          <w:color w:val="212529"/>
          <w:sz w:val="22"/>
        </w:rPr>
        <w:t>Established active relationship paths in the Power BI Model View to ensure proper filter context propagation across visualizations: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2160"/>
            <w:shd w:fill="102C57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Primary Table</w:t>
            </w:r>
          </w:p>
        </w:tc>
        <w:tc>
          <w:tcPr>
            <w:tcW w:type="dxa" w:w="2160"/>
            <w:shd w:fill="102C57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Foreign Table</w:t>
            </w:r>
          </w:p>
        </w:tc>
        <w:tc>
          <w:tcPr>
            <w:tcW w:type="dxa" w:w="2160"/>
            <w:shd w:fill="102C57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Linking Key</w:t>
            </w:r>
          </w:p>
        </w:tc>
        <w:tc>
          <w:tcPr>
            <w:tcW w:type="dxa" w:w="1872"/>
            <w:shd w:fill="102C57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Cardinality</w:t>
            </w:r>
          </w:p>
        </w:tc>
        <w:tc>
          <w:tcPr>
            <w:tcW w:type="dxa" w:w="1440"/>
            <w:shd w:fill="102C57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160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12529"/>
                <w:sz w:val="19"/>
              </w:rPr>
              <w:t>List of Orders</w:t>
            </w:r>
          </w:p>
        </w:tc>
        <w:tc>
          <w:tcPr>
            <w:tcW w:type="dxa" w:w="2160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12529"/>
                <w:sz w:val="19"/>
              </w:rPr>
              <w:t>Order Details</w:t>
            </w:r>
          </w:p>
        </w:tc>
        <w:tc>
          <w:tcPr>
            <w:tcW w:type="dxa" w:w="2160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12529"/>
                <w:sz w:val="19"/>
              </w:rPr>
              <w:t>Order ID</w:t>
            </w:r>
          </w:p>
        </w:tc>
        <w:tc>
          <w:tcPr>
            <w:tcW w:type="dxa" w:w="1872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12529"/>
                <w:sz w:val="19"/>
              </w:rPr>
              <w:t>1 to Many (1:*)</w:t>
            </w:r>
          </w:p>
        </w:tc>
        <w:tc>
          <w:tcPr>
            <w:tcW w:type="dxa" w:w="1440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12529"/>
                <w:sz w:val="19"/>
              </w:rPr>
              <w:t>Active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12529"/>
                <w:sz w:val="19"/>
              </w:rPr>
              <w:t>Order Details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12529"/>
                <w:sz w:val="19"/>
              </w:rPr>
              <w:t>Sales Target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12529"/>
                <w:sz w:val="19"/>
              </w:rPr>
              <w:t>Category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12529"/>
                <w:sz w:val="19"/>
              </w:rPr>
              <w:t>Many to 1 (*:1)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12529"/>
                <w:sz w:val="19"/>
              </w:rPr>
              <w:t>Active</w:t>
            </w:r>
          </w:p>
        </w:tc>
      </w:tr>
    </w:tbl>
    <w:p>
      <w:pPr>
        <w:spacing w:after="240"/>
      </w:pPr>
    </w:p>
    <w:p>
      <w:pPr>
        <w:keepNext/>
        <w:spacing w:before="320" w:after="120"/>
        <w:pBdr>
          <w:bottom w:val="single" w:sz="12" w:space="4" w:color="35598E"/>
        </w:pBdr>
      </w:pPr>
      <w:r>
        <w:rPr>
          <w:rFonts w:ascii="Calibri" w:hAnsi="Calibri"/>
          <w:b/>
          <w:color w:val="102C57"/>
          <w:sz w:val="32"/>
        </w:rPr>
        <w:t>6. Sign-off &amp; File Deliverables</w:t>
      </w:r>
    </w:p>
    <w:p>
      <w:pPr>
        <w:spacing w:before="0" w:after="80" w:line="276" w:lineRule="auto"/>
      </w:pPr>
      <w:r>
        <w:rPr>
          <w:rFonts w:ascii="Calibri" w:hAnsi="Calibri"/>
          <w:color w:val="212529"/>
          <w:sz w:val="22"/>
        </w:rPr>
        <w:t>All transformations, calculated logic, grouping aggregations, and model relationships specified in the assignment prompt have been successfully validated and saved into the Power BI report file (PwerBI_Assignment_1.pbix).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