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1EAD1">
      <w:pPr>
        <w:jc w:val="center"/>
      </w:pPr>
      <w:r>
        <w:rPr>
          <w:rFonts w:ascii="黑体" w:hAnsi="黑体" w:eastAsia="黑体"/>
          <w:b/>
          <w:sz w:val="32"/>
        </w:rPr>
        <w:t>老年健康智能评估与干预系统</w:t>
      </w:r>
      <w:r>
        <w:rPr>
          <w:rFonts w:hint="eastAsia" w:ascii="黑体" w:hAnsi="黑体" w:eastAsia="黑体"/>
          <w:b/>
          <w:sz w:val="32"/>
          <w:lang w:val="en-US" w:eastAsia="zh-CN"/>
        </w:rPr>
        <w:t>Demo</w:t>
      </w:r>
      <w:r>
        <w:rPr>
          <w:rFonts w:hint="default" w:ascii="黑体" w:hAnsi="黑体" w:eastAsia="黑体"/>
          <w:b/>
          <w:sz w:val="32"/>
          <w:lang w:val="en-US" w:eastAsia="zh-CN"/>
        </w:rPr>
        <w:t>_V2</w:t>
      </w:r>
      <w:r>
        <w:rPr>
          <w:rFonts w:hint="eastAsia" w:ascii="黑体" w:hAnsi="黑体" w:eastAsia="黑体"/>
          <w:b/>
          <w:sz w:val="32"/>
          <w:lang w:val="en-US" w:eastAsia="zh-CN"/>
        </w:rPr>
        <w:t>更新</w:t>
      </w:r>
      <w:r>
        <w:rPr>
          <w:rFonts w:ascii="黑体" w:hAnsi="黑体" w:eastAsia="黑体"/>
          <w:b/>
          <w:sz w:val="32"/>
        </w:rPr>
        <w:t>说明</w:t>
      </w:r>
    </w:p>
    <w:p w14:paraId="1D7001EA">
      <w:pPr>
        <w:ind w:firstLine="440" w:firstLineChars="200"/>
      </w:pPr>
      <w:r>
        <w:t>本</w:t>
      </w:r>
      <w:r>
        <w:rPr>
          <w:rFonts w:hint="eastAsia"/>
          <w:lang w:val="en-US" w:eastAsia="zh-CN"/>
        </w:rPr>
        <w:t>次更新的系统</w:t>
      </w:r>
      <w:r>
        <w:t>按照“基础信息填写—量表工具选择—数据采集—结果判断—干预匹配—干预展示”的流程运行，共包括以下六个功能部分。</w:t>
      </w:r>
    </w:p>
    <w:p w14:paraId="604B4548">
      <w:pPr>
        <w:spacing w:before="120"/>
      </w:pPr>
      <w:r>
        <w:rPr>
          <w:rFonts w:ascii="黑体" w:hAnsi="黑体" w:eastAsia="黑体"/>
          <w:b/>
          <w:sz w:val="24"/>
        </w:rPr>
        <w:t>1、基础信息填写</w:t>
      </w:r>
    </w:p>
    <w:p w14:paraId="2A8B5831">
      <w:pPr>
        <w:ind w:firstLine="420"/>
      </w:pPr>
      <w:r>
        <w:t>用于录入或导入本次评估所需的基础资料，包括基本情况、疾病与用药情况、人体测量与客观指标。基本情况可包括</w:t>
      </w:r>
      <w:r>
        <w:rPr>
          <w:rFonts w:hint="eastAsia"/>
          <w:lang w:eastAsia="zh-CN"/>
        </w:rPr>
        <w:t>“</w:t>
      </w:r>
      <w:r>
        <w:t>姓名、性别、年龄、文化程度、婚姻状况、居住情况和照护情况</w:t>
      </w:r>
      <w:r>
        <w:rPr>
          <w:rFonts w:hint="eastAsia"/>
          <w:lang w:eastAsia="zh-CN"/>
        </w:rPr>
        <w:t>”</w:t>
      </w:r>
      <w:r>
        <w:t>等；疾病与用药情况包括</w:t>
      </w:r>
      <w:r>
        <w:rPr>
          <w:rFonts w:hint="eastAsia"/>
          <w:lang w:eastAsia="zh-CN"/>
        </w:rPr>
        <w:t>“</w:t>
      </w:r>
      <w:r>
        <w:t>现有诊断、既往病史、近期急性疾病以及当前使用的西药、中成药和保健品</w:t>
      </w:r>
      <w:r>
        <w:rPr>
          <w:rFonts w:hint="eastAsia"/>
          <w:lang w:eastAsia="zh-CN"/>
        </w:rPr>
        <w:t>”</w:t>
      </w:r>
      <w:r>
        <w:t>；人体测量与客观指标包括</w:t>
      </w:r>
      <w:r>
        <w:rPr>
          <w:rFonts w:hint="eastAsia"/>
          <w:lang w:eastAsia="zh-CN"/>
        </w:rPr>
        <w:t>“</w:t>
      </w:r>
      <w:r>
        <w:t>身高、体重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现在、1月前、2月前、3月前、6月前、12月前</w:t>
      </w:r>
      <w:r>
        <w:rPr>
          <w:rFonts w:hint="eastAsia"/>
          <w:lang w:eastAsia="zh-CN"/>
        </w:rPr>
        <w:t>）</w:t>
      </w:r>
      <w:r>
        <w:t>、BMI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自动计算</w:t>
      </w:r>
      <w:r>
        <w:rPr>
          <w:rFonts w:hint="eastAsia"/>
          <w:lang w:eastAsia="zh-CN"/>
        </w:rPr>
        <w:t>）</w:t>
      </w:r>
      <w:r>
        <w:t>、小腿围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双腿</w:t>
      </w:r>
      <w:r>
        <w:rPr>
          <w:rFonts w:hint="eastAsia"/>
          <w:lang w:eastAsia="zh-CN"/>
        </w:rPr>
        <w:t>）</w:t>
      </w:r>
      <w:r>
        <w:t>、握力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握力计传感器输入/握力计测试后填入，暂不接入</w:t>
      </w:r>
      <w:bookmarkStart w:id="0" w:name="_GoBack"/>
      <w:bookmarkEnd w:id="0"/>
      <w:r>
        <w:rPr>
          <w:rFonts w:hint="eastAsia"/>
          <w:lang w:eastAsia="zh-CN"/>
        </w:rPr>
        <w:t>）、</w:t>
      </w:r>
      <w:r>
        <w:rPr>
          <w:rFonts w:hint="eastAsia"/>
          <w:lang w:val="en-US" w:eastAsia="zh-CN"/>
        </w:rPr>
        <w:t>身体成分分析（DXA或BIA分析，暂不接入）</w:t>
      </w:r>
      <w:r>
        <w:t>。已经填写或导入的信息应保存为结构化数据，后续量表需要使用相同信息时直接调用，不再重复询问。</w:t>
      </w:r>
    </w:p>
    <w:p w14:paraId="73F566D4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72175" cy="4479290"/>
            <wp:effectExtent l="0" t="0" r="22225" b="16510"/>
            <wp:docPr id="1" name="图片 1" descr="ChatGPT Image 2026年8月5日 15_54_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8月5日 15_54_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180F">
      <w:pPr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br w:type="page"/>
      </w:r>
    </w:p>
    <w:p w14:paraId="0D8C3869">
      <w:pPr>
        <w:spacing w:before="120"/>
      </w:pPr>
      <w:r>
        <w:rPr>
          <w:rFonts w:ascii="黑体" w:hAnsi="黑体" w:eastAsia="黑体"/>
          <w:b/>
          <w:sz w:val="24"/>
        </w:rPr>
        <w:t>2、量表工具选择</w:t>
      </w:r>
    </w:p>
    <w:p w14:paraId="46A331FB">
      <w:pPr>
        <w:ind w:firstLine="420"/>
      </w:pPr>
      <w:r>
        <w:t>用于确定本次需要完成的量表和工具，包括常规综合评估、病历智能评估、随访对比评估和自选组合评估。常规综合评估调用系统预设的常规量表包；病历智能评估由医生粘贴病历和诊断，系统根据病历内容推荐适合的量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调用LLM</w:t>
      </w:r>
      <w:r>
        <w:rPr>
          <w:rFonts w:hint="eastAsia"/>
          <w:lang w:eastAsia="zh-CN"/>
        </w:rPr>
        <w:t>）</w:t>
      </w:r>
      <w:r>
        <w:t>；随访对比评估调用患者上次使用的量表进行复评；自选组合评估</w:t>
      </w:r>
      <w:r>
        <w:rPr>
          <w:rFonts w:hint="eastAsia"/>
          <w:lang w:eastAsia="zh-CN"/>
        </w:rPr>
        <w:t>（</w:t>
      </w:r>
      <w:r>
        <w:t>包括机构预设套餐、系统预设套餐和临时自定义组合三个亚类</w:t>
      </w:r>
      <w:r>
        <w:rPr>
          <w:rFonts w:hint="eastAsia"/>
          <w:lang w:eastAsia="zh-CN"/>
        </w:rPr>
        <w:t>）</w:t>
      </w:r>
      <w:r>
        <w:t>。用户完成选择后，系统按照既定一级分类顺序生成本次采集任务。</w:t>
      </w:r>
    </w:p>
    <w:p w14:paraId="14AA4F39">
      <w:pPr>
        <w:ind w:firstLine="420"/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所有量表汇总于：01_评估采集规则表.xlsx</w:t>
      </w:r>
    </w:p>
    <w:p w14:paraId="28F36237">
      <w:pPr>
        <w:ind w:firstLine="42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（1）常规综合评估包含个量表工具：</w:t>
      </w:r>
    </w:p>
    <w:p w14:paraId="411348F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基本日常生活活动能力评估量表（10）；工具性日常生活活动能力量表（8）；FRAIL量表（5）；微型营养评定简表MNA-SF（6）；简易智力评估量表（3）；抑郁两问筛查（2）；焦虑两问筛查（2）；中医体质辨识（30）。</w:t>
      </w:r>
    </w:p>
    <w:p w14:paraId="24F35444">
      <w:pPr>
        <w:ind w:firstLine="42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（2）自选组合评估的系统预设套餐包含4个：</w:t>
      </w:r>
    </w:p>
    <w:p w14:paraId="17EC37F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A、衰弱与机能评估包：基本日常生活活动能力评估量表（10）；工具性日常生活活动能力量表（8）；FRAIL量表（5）。</w:t>
      </w:r>
    </w:p>
    <w:p w14:paraId="6B24AB6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B、认知评估包：简易智力评估量表（3）；简易智力状态检查量表MMSE（30）。</w:t>
      </w:r>
    </w:p>
    <w:p w14:paraId="0B23985B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C、情志评估包：简版老年抑郁量表GDS-15（15）；广泛性焦虑障碍量表GAD-7（7）；阿森斯失眠量表AIS（8）。</w:t>
      </w:r>
    </w:p>
    <w:p w14:paraId="768414BF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D、中医特色评估包：中医体质辨识（30）。</w:t>
      </w:r>
    </w:p>
    <w:p w14:paraId="05F240E8">
      <w:pPr>
        <w:ind w:firstLine="42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（3）临时自定义组合的分类与内容</w:t>
      </w:r>
    </w:p>
    <w:p w14:paraId="2338418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、躯体功能：基本日常生活活动能力评估量表（10）；工具性日常生活活动能力量表（8）；运动功能初筛（1）；简易体能状况量表SPPB（5）；视力简易评估表（5）；视觉功能简易评估表（3）；听力简易评估表（5）；耳语试验（4）。</w:t>
      </w:r>
    </w:p>
    <w:p w14:paraId="6B7B0993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B、精神心理：简易智力评估量表（3）；简易智力状态检查量表MMSE（30）；抑郁两问筛查（2）；简版老年抑郁量表GDS-15（15）；焦虑两问筛查（2）；广泛性焦虑障碍量表GAD-7（7）。</w:t>
      </w:r>
    </w:p>
    <w:p w14:paraId="63D9EC28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C、社会与环境：Lubben社会网络量表（6）；居家环境筛查表（14）。</w:t>
      </w:r>
    </w:p>
    <w:p w14:paraId="795BDE76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D、老年综合征：跌倒风险三问筛查（3）；Morse老年人跌倒风险评估表（6）；FRAIL量表（5）；尿失禁两问筛查（2）；国际尿失禁咨询委员会尿失禁问卷简表ICIQ-UI SF（4）；便秘一问筛查（1）；便秘症状评估表（9）；睡眠障碍一问筛查（1）；阿森斯失眠量表AIS（8）；慢性疼痛一问筛查（1）；慢性疼痛数字评定量表NRS（1）；慢性疼痛行为评估量表（4）；压力性损伤初步筛查（2）；压力性损伤风险评估量表（6）；多重用药评估（2）；吞咽障碍初筛（5）；洼田饮水试验（1）；营养风险筛查2002（7）；微型营养评定简表MNA-SF（6）；全球领导人营养不良倡议标准GLIM（6）；小腿围测量（1）；握力测量（1）；6米步速测试（1）；DXA或BIA肌肉量测量（1）；谵妄评估CAM（4）。</w:t>
      </w:r>
    </w:p>
    <w:p w14:paraId="5979F94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E、中医特色评估：中医体质辨识（30）。</w:t>
      </w:r>
    </w:p>
    <w:p w14:paraId="5BBC5F9B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39995" cy="3780155"/>
            <wp:effectExtent l="0" t="0" r="14605" b="4445"/>
            <wp:docPr id="3" name="图片 3" descr="ChatGPT Image 2026年8月5日 16_09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8月5日 16_09_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5FD5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39995" cy="3780155"/>
            <wp:effectExtent l="0" t="0" r="14605" b="4445"/>
            <wp:docPr id="4" name="图片 4" descr="ChatGPT Image 2026年8月5日 16_10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8月5日 16_10_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39995" cy="3780155"/>
            <wp:effectExtent l="0" t="0" r="14605" b="4445"/>
            <wp:docPr id="5" name="图片 5" descr="ChatGPT Image 2026年8月5日 16_10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8月5日 16_10_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39995" cy="3780155"/>
            <wp:effectExtent l="0" t="0" r="14605" b="4445"/>
            <wp:docPr id="6" name="图片 6" descr="ChatGPT Image 2026年8月5日 16_10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8月5日 16_10_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039995" cy="3780155"/>
            <wp:effectExtent l="0" t="0" r="14605" b="4445"/>
            <wp:docPr id="7" name="图片 7" descr="ChatGPT Image 2026年8月5日 16_10_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hatGPT Image 2026年8月5日 16_10_4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E697">
      <w:pPr>
        <w:spacing w:before="120"/>
        <w:rPr>
          <w:rFonts w:ascii="黑体" w:hAnsi="黑体" w:eastAsia="黑体"/>
          <w:b/>
          <w:sz w:val="24"/>
        </w:rPr>
      </w:pPr>
    </w:p>
    <w:p w14:paraId="1C2ACE59">
      <w:pPr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br w:type="page"/>
      </w:r>
    </w:p>
    <w:p w14:paraId="18105A09">
      <w:pPr>
        <w:spacing w:before="120"/>
      </w:pPr>
      <w:r>
        <w:rPr>
          <w:rFonts w:ascii="黑体" w:hAnsi="黑体" w:eastAsia="黑体"/>
          <w:b/>
          <w:sz w:val="24"/>
        </w:rPr>
        <w:t>3、数据采集</w:t>
      </w:r>
    </w:p>
    <w:p w14:paraId="5C59A66C">
      <w:pPr>
        <w:ind w:firstLine="420"/>
      </w:pPr>
      <w:r>
        <w:t>用于完成所选量表和工具的信息采集。当前阶段支持AI语音问答、屏幕点击、文字或数字输入以及画钟、图形复制等画图识别，暂不开发自动动作测试。对病历、基础信息和已有客观指标中已经存在的数据，系统应直接读取；对医护观察或暂不支持自动采集的内容，由医护人员补充录入。采集过程中应按照预设顺序播放开场白、分类过渡句和必要的工具说明，并根据复用规则跳过已经获得的相同信息，避免重复提问。</w:t>
      </w:r>
    </w:p>
    <w:p w14:paraId="06734BB3">
      <w:pPr>
        <w:jc w:val="center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drawing>
          <wp:inline distT="0" distB="0" distL="114300" distR="114300">
            <wp:extent cx="5039995" cy="2836545"/>
            <wp:effectExtent l="0" t="0" r="14605" b="8255"/>
            <wp:docPr id="8" name="图片 8" descr="ChatGPT Image 2026年8月5日 16_36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hatGPT Image 2026年8月5日 16_36_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1019">
      <w:pPr>
        <w:jc w:val="center"/>
        <w:rPr>
          <w:rFonts w:hint="eastAsia" w:ascii="黑体" w:hAnsi="黑体" w:eastAsia="黑体"/>
          <w:b/>
          <w:sz w:val="24"/>
          <w:lang w:eastAsia="zh-CN"/>
        </w:rPr>
      </w:pPr>
      <w:r>
        <w:rPr>
          <w:rFonts w:hint="eastAsia" w:ascii="黑体" w:hAnsi="黑体" w:eastAsia="黑体"/>
          <w:b/>
          <w:sz w:val="24"/>
          <w:lang w:eastAsia="zh-CN"/>
        </w:rPr>
        <w:drawing>
          <wp:inline distT="0" distB="0" distL="114300" distR="114300">
            <wp:extent cx="5039995" cy="2836545"/>
            <wp:effectExtent l="0" t="0" r="14605" b="8255"/>
            <wp:docPr id="11" name="图片 11" descr="ChatGPT Image 2026年8月5日 16_43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hatGPT Image 2026年8月5日 16_43_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B9EC">
      <w:pPr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drawing>
          <wp:inline distT="0" distB="0" distL="114300" distR="114300">
            <wp:extent cx="5972175" cy="3361055"/>
            <wp:effectExtent l="0" t="0" r="22225" b="17145"/>
            <wp:docPr id="9" name="图片 9" descr="ChatGPT Image 2026年8月5日 16_36_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hatGPT Image 2026年8月5日 16_36_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120A">
      <w:pPr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drawing>
          <wp:inline distT="0" distB="0" distL="114300" distR="114300">
            <wp:extent cx="5972175" cy="3361055"/>
            <wp:effectExtent l="0" t="0" r="22225" b="17145"/>
            <wp:docPr id="10" name="图片 10" descr="ChatGPT Image 2026年8月5日 16_36_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hatGPT Image 2026年8月5日 16_36_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/>
          <w:b/>
          <w:sz w:val="24"/>
        </w:rPr>
        <w:br w:type="page"/>
      </w:r>
    </w:p>
    <w:p w14:paraId="1371B2EA">
      <w:pPr>
        <w:spacing w:before="120"/>
      </w:pPr>
      <w:r>
        <w:rPr>
          <w:rFonts w:ascii="黑体" w:hAnsi="黑体" w:eastAsia="黑体"/>
          <w:b/>
          <w:sz w:val="24"/>
        </w:rPr>
        <w:t>4、量表工具结果判断</w:t>
      </w:r>
    </w:p>
    <w:p w14:paraId="4A156879">
      <w:pPr>
        <w:ind w:firstLine="420"/>
      </w:pPr>
      <w:r>
        <w:t>用于根据采集内容完成量表计分和评估结果判定。程序按照各量表的题目分值、总分范围、阳性标准或客观指标阈值进行计算，并生成相应的评估结果标签及标签编码。例如，完成基本日常生活活动能力评估后，根据Barthel总分判断无依赖、轻度依赖、中度依赖或重度依赖。</w:t>
      </w:r>
    </w:p>
    <w:p w14:paraId="6434C79C">
      <w:pPr>
        <w:ind w:firstLine="42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 w:cs="黑体"/>
          <w:b w:val="0"/>
          <w:bCs w:val="0"/>
          <w:color w:val="0000FF"/>
        </w:rPr>
        <w:t>具体判定规则由“02_结果标签判定表.xlsx”提供。</w:t>
      </w:r>
    </w:p>
    <w:p w14:paraId="4C952B65">
      <w:pPr>
        <w:spacing w:before="120"/>
      </w:pPr>
      <w:r>
        <w:rPr>
          <w:rFonts w:ascii="黑体" w:hAnsi="黑体" w:eastAsia="黑体"/>
          <w:b/>
          <w:sz w:val="24"/>
        </w:rPr>
        <w:t>5、干预匹配与决策</w:t>
      </w:r>
    </w:p>
    <w:p w14:paraId="613AF9F0">
      <w:pPr>
        <w:ind w:firstLine="420"/>
      </w:pPr>
      <w:r>
        <w:t>用于根据患者本次产生的评估结果标签匹配干预方案。程序读取“03_标签干预匹配表.xlsx”，查询每个结果标签与各干预方案之间的匹配度评分，并对同一干预方案获得的分数进行汇总。评分为100表示强制优先推荐，评分为-100表示禁止自动推荐，评分为0表示无直接关系，评分为1至10表示不同程度的普通匹配。系统再按照运动、膳食营养、中医食养、就诊建议和其他等类别进行排序，每类原则上选择1至2个最合适的方案。</w:t>
      </w:r>
    </w:p>
    <w:p w14:paraId="3D39FD99">
      <w:pPr>
        <w:ind w:firstLine="420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相关规则参照</w:t>
      </w:r>
      <w:r>
        <w:rPr>
          <w:rFonts w:hint="eastAsia" w:ascii="黑体" w:hAnsi="黑体" w:eastAsia="黑体" w:cs="黑体"/>
          <w:color w:val="0000FF"/>
        </w:rPr>
        <w:t>“03_标签干预匹配表.xlsx”</w:t>
      </w:r>
    </w:p>
    <w:p w14:paraId="70274058">
      <w:pPr>
        <w:spacing w:before="120"/>
      </w:pPr>
      <w:r>
        <w:rPr>
          <w:rFonts w:ascii="黑体" w:hAnsi="黑体" w:eastAsia="黑体"/>
          <w:b/>
          <w:sz w:val="24"/>
        </w:rPr>
        <w:t>6、干预内容展示</w:t>
      </w:r>
    </w:p>
    <w:p w14:paraId="4EC9F98C">
      <w:pPr>
        <w:ind w:firstLine="420"/>
      </w:pPr>
      <w:r>
        <w:t>用于展示最终确定的干预方案。程序根据选中的干预方案标签，从“04_干预方案信息表.xlsx”读取方案名称、具体内容和展示形式，并在结果页面中进行展示。运动方案以视频为主，膳食营养和中医食养方案以图片为主，就诊建议及部分其他方案以文本为主。结果页面应先清楚展示评估结论，再展示相应的干预建议。</w:t>
      </w:r>
    </w:p>
    <w:p w14:paraId="0460F103">
      <w:pPr>
        <w:ind w:firstLine="420"/>
        <w:rPr>
          <w:rFonts w:hint="eastAsia" w:ascii="黑体" w:hAnsi="黑体" w:eastAsia="黑体" w:cs="黑体"/>
          <w:color w:val="0000FF"/>
          <w:lang w:val="en-US" w:eastAsia="zh-CN"/>
        </w:rPr>
      </w:pPr>
      <w:r>
        <w:rPr>
          <w:rFonts w:hint="eastAsia" w:ascii="黑体" w:hAnsi="黑体" w:eastAsia="黑体" w:cs="黑体"/>
          <w:color w:val="0000FF"/>
          <w:lang w:val="en-US" w:eastAsia="zh-CN"/>
        </w:rPr>
        <w:t>干预方案信息参见</w:t>
      </w:r>
      <w:r>
        <w:rPr>
          <w:rFonts w:hint="eastAsia" w:ascii="黑体" w:hAnsi="黑体" w:eastAsia="黑体" w:cs="黑体"/>
          <w:color w:val="0000FF"/>
        </w:rPr>
        <w:t>“04_干预方案信息表.xlsx”</w:t>
      </w:r>
    </w:p>
    <w:p w14:paraId="30B85819">
      <w:pPr>
        <w:spacing w:before="160"/>
      </w:pPr>
      <w:r>
        <w:rPr>
          <w:b/>
        </w:rPr>
        <w:t>系统总体流程：</w:t>
      </w:r>
      <w:r>
        <w:t>基础信息填写 → 量表工具选择 → 数据采集 → 量表工具结果判断 → 干预匹配与决策 → 干预内容展示。</w:t>
      </w:r>
    </w:p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9F49DC"/>
    <w:rsid w:val="31FF9CD8"/>
    <w:rsid w:val="37FE7094"/>
    <w:rsid w:val="3F73776F"/>
    <w:rsid w:val="3FFA35AA"/>
    <w:rsid w:val="536FEFD4"/>
    <w:rsid w:val="5BE78374"/>
    <w:rsid w:val="6D7BFB72"/>
    <w:rsid w:val="6E5F2148"/>
    <w:rsid w:val="6F6EBA70"/>
    <w:rsid w:val="77FF0D13"/>
    <w:rsid w:val="7DF5C143"/>
    <w:rsid w:val="7E8B870C"/>
    <w:rsid w:val="7FD6D0B6"/>
    <w:rsid w:val="D72FFD2D"/>
    <w:rsid w:val="DF7F4179"/>
    <w:rsid w:val="DFFFD8C1"/>
    <w:rsid w:val="E5DFCF41"/>
    <w:rsid w:val="EF77E14E"/>
    <w:rsid w:val="F74C6B56"/>
    <w:rsid w:val="FFAD9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黎燚华</cp:lastModifiedBy>
  <dcterms:modified xsi:type="dcterms:W3CDTF">2026-08-05T16:51:32Z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266A0277C5694F5554F3726AA66099FE_42</vt:lpwstr>
  </property>
</Properties>
</file>