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52FC6">
      <w:pPr>
        <w:pStyle w:val="2"/>
        <w:rPr>
          <w:rFonts w:hint="eastAsia" w:ascii="宋体" w:hAnsi="宋体" w:eastAsia="宋体" w:cs="宋体"/>
        </w:rPr>
      </w:pPr>
      <w:bookmarkStart w:id="0" w:name="老年健康智能评估与干预系统-demo-需求文档"/>
      <w:r>
        <w:rPr>
          <w:rFonts w:hint="eastAsia" w:ascii="宋体" w:hAnsi="宋体" w:eastAsia="宋体" w:cs="宋体"/>
        </w:rPr>
        <w:t>老年健康智能评估与干预系统 Demo 需求文档</w:t>
      </w:r>
    </w:p>
    <w:p w14:paraId="116A208E">
      <w:pPr>
        <w:pStyle w:val="4"/>
        <w:rPr>
          <w:rFonts w:hint="eastAsia" w:ascii="宋体" w:hAnsi="宋体" w:eastAsia="宋体" w:cs="宋体"/>
        </w:rPr>
      </w:pPr>
      <w:bookmarkStart w:id="1" w:name="总体设计"/>
      <w:r>
        <w:rPr>
          <w:rFonts w:hint="eastAsia" w:ascii="宋体" w:hAnsi="宋体" w:eastAsia="宋体" w:cs="宋体"/>
        </w:rPr>
        <w:t>总体设计</w:t>
      </w:r>
    </w:p>
    <w:p w14:paraId="40456C7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代替医护人员完成老年患者健康信息采集，并根据采集结果自动完成标准化评估，生成评估标签，再根据评估标签推荐对应的个体化干预方案。Demo阶段重点跑通“基础信息录入—智能化信息采集—采集信息分析和评估—干预方案推荐”的完整流程。</w:t>
      </w:r>
    </w:p>
    <w:p w14:paraId="3E58A51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本次Demo开发需要结合以下三份附件完成：</w:t>
      </w:r>
    </w:p>
    <w:p w14:paraId="4917A82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《量表题目_Demo.txt》：规定本次Demo需要完成的评估项目、标准题目、答案选项、评分规则及评估结果判定规则。</w:t>
      </w:r>
    </w:p>
    <w:p w14:paraId="69D1054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《评估标签-干预标签知识图谱映射表_Demo.xlsx》：规定评估标签与干预标签之间的对应关系，用于根据患者评估结果生成候选干预方案。</w:t>
      </w:r>
    </w:p>
    <w:p w14:paraId="13E7730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《干预标签_Demo.xlsx》：规定每个干预标签对应的具体执行方案文本，用于生成最终展示给医生和患者的干预方案。</w:t>
      </w:r>
    </w:p>
    <w:p w14:paraId="11EBD25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Demo阶段以上三份文件作为医学业务规则依据。后续正式产品可以在此基础上继续增加新的量表、评估标签、评估—干预映射关系和具体干预方案。</w:t>
      </w:r>
    </w:p>
    <w:bookmarkEnd w:id="1"/>
    <w:p w14:paraId="6BF1907F">
      <w:pPr>
        <w:pStyle w:val="4"/>
        <w:rPr>
          <w:rFonts w:hint="eastAsia" w:ascii="宋体" w:hAnsi="宋体" w:eastAsia="宋体" w:cs="宋体"/>
        </w:rPr>
      </w:pPr>
      <w:bookmarkStart w:id="2" w:name="第一步基础信息录入"/>
      <w:r>
        <w:rPr>
          <w:rFonts w:hint="eastAsia" w:ascii="宋体" w:hAnsi="宋体" w:eastAsia="宋体" w:cs="宋体"/>
        </w:rPr>
        <w:t>第一步：基础信息录入</w:t>
      </w:r>
    </w:p>
    <w:p w14:paraId="328006D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录入患者个人信息，包括姓名</w:t>
      </w:r>
      <w:r>
        <w:rPr>
          <w:rFonts w:hint="eastAsia" w:ascii="宋体" w:hAnsi="宋体" w:eastAsia="宋体" w:cs="宋体"/>
          <w:i/>
          <w:iCs/>
          <w:lang w:val="en-US" w:eastAsia="zh-CN"/>
        </w:rPr>
        <w:t>*</w:t>
      </w:r>
      <w:r>
        <w:rPr>
          <w:rFonts w:hint="eastAsia" w:ascii="宋体" w:hAnsi="宋体" w:eastAsia="宋体" w:cs="宋体"/>
          <w:i/>
          <w:iCs/>
        </w:rPr>
        <w:t>、性别</w:t>
      </w:r>
      <w:r>
        <w:rPr>
          <w:rFonts w:hint="eastAsia" w:ascii="宋体" w:hAnsi="宋体" w:eastAsia="宋体" w:cs="宋体"/>
          <w:i/>
          <w:iCs/>
          <w:lang w:val="en-US" w:eastAsia="zh-CN"/>
        </w:rPr>
        <w:t>*</w:t>
      </w:r>
      <w:r>
        <w:rPr>
          <w:rFonts w:hint="eastAsia" w:ascii="宋体" w:hAnsi="宋体" w:eastAsia="宋体" w:cs="宋体"/>
        </w:rPr>
        <w:t>、年龄</w:t>
      </w:r>
      <w:r>
        <w:rPr>
          <w:rFonts w:hint="eastAsia" w:ascii="宋体" w:hAnsi="宋体" w:eastAsia="宋体" w:cs="宋体"/>
          <w:i/>
          <w:iCs/>
          <w:lang w:val="en-US" w:eastAsia="zh-CN"/>
        </w:rPr>
        <w:t>*</w:t>
      </w:r>
      <w:r>
        <w:rPr>
          <w:rFonts w:hint="eastAsia" w:ascii="宋体" w:hAnsi="宋体" w:eastAsia="宋体" w:cs="宋体"/>
          <w:i/>
          <w:iCs/>
        </w:rPr>
        <w:t>、手机号、身份证号、住址、住院号、门诊号等，其中“</w:t>
      </w:r>
      <w:r>
        <w:rPr>
          <w:rFonts w:hint="eastAsia" w:ascii="宋体" w:hAnsi="宋体" w:eastAsia="宋体" w:cs="宋体"/>
          <w:i/>
          <w:iCs/>
          <w:lang w:val="en-US" w:eastAsia="zh-CN"/>
        </w:rPr>
        <w:t>*</w:t>
      </w:r>
      <w:r>
        <w:rPr>
          <w:rFonts w:hint="eastAsia" w:ascii="宋体" w:hAnsi="宋体" w:eastAsia="宋体" w:cs="宋体"/>
        </w:rPr>
        <w:t>”为必填项。录入完成后，系统为患者生成唯一患者编</w:t>
      </w:r>
      <w:bookmarkStart w:id="7" w:name="_GoBack"/>
      <w:bookmarkEnd w:id="7"/>
      <w:r>
        <w:rPr>
          <w:rFonts w:hint="eastAsia" w:ascii="宋体" w:hAnsi="宋体" w:eastAsia="宋体" w:cs="宋体"/>
        </w:rPr>
        <w:t>号，并进入智能化信息采集流程。</w:t>
      </w:r>
    </w:p>
    <w:p w14:paraId="7230D74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备注：以上信息为医疗敏感信息，只能在本地保存，不可直接上传至第三方云端模型。后续如需调用云端AI模型进行分析，应使用患者唯一编号替代姓名、身份证号、手机号、住院号、门诊号和住址等直接身份信息。</w:t>
      </w:r>
    </w:p>
    <w:bookmarkEnd w:id="2"/>
    <w:p w14:paraId="0845A32C">
      <w:pPr>
        <w:pStyle w:val="4"/>
        <w:rPr>
          <w:rFonts w:hint="eastAsia" w:ascii="宋体" w:hAnsi="宋体" w:eastAsia="宋体" w:cs="宋体"/>
        </w:rPr>
      </w:pPr>
      <w:bookmarkStart w:id="3" w:name="第二步智能化信息采集"/>
      <w:r>
        <w:rPr>
          <w:rFonts w:hint="eastAsia" w:ascii="宋体" w:hAnsi="宋体" w:eastAsia="宋体" w:cs="宋体"/>
        </w:rPr>
        <w:t>第二步：智能化信息采集</w:t>
      </w:r>
    </w:p>
    <w:p w14:paraId="6DF3E05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进入评估界面后，大屏幕显示虚拟数字医生形象，由数字医生根据后台预设的评估内容与患者进行自然语言语音交流。数字医生发声时应尽量实现口型与语音同步，同时在屏幕上显示大字体字幕，以方便老年患者理解。</w:t>
      </w:r>
    </w:p>
    <w:p w14:paraId="225112D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Demo需要采集的具体评估项目、标准题目、答案选项及评分规则，以附件《量表题目_Demo.txt》为准。当前包括FRAIL衰弱评估、MNA-SF营养评估、跌倒风险筛查和中医体质辨识四类评估。程序开发时应按照该文件建立本次Demo的评估题库和评分规则。</w:t>
      </w:r>
    </w:p>
    <w:p w14:paraId="7185B08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后台保存的是标准化量表题目，但数字医生实际与患者交流时不要求机械朗读原始题目。系统可以在不改变题目医学含义、答案定义和评分规则的前提下，将标准题目转换为更加自然、容易被老年患者理解的表达方式。</w:t>
      </w:r>
    </w:p>
    <w:p w14:paraId="01CABB9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每次原则上只询问一个主要问题。患者回答后，系统完成语音采集、语音识别和文字转写，并快速判断患者当前回答是否已经满足该题目的信息需求。回答明确时进入下一题；回答模糊、信息不足或答非所问时，系统可以立即追问，也可以将该问题标记为“待确认”，在本轮评估结束前换一种表达方式再次询问。</w:t>
      </w:r>
    </w:p>
    <w:p w14:paraId="333147F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《量表题目_Demo.txt》中的标准问题为“过去一年内是否发生过跌倒”。数字医生可以询问：“过去这一年里，您有没有摔倒过？就是身体真正倒在地上、床上或者其他地方的那种。”患者回答：“好像有两三次吧，上个月摔过一次，春节前也有一次。”系统可以继续确认：“我确认一下，您过去一年至少发生过跌倒，对吗？”患者回答“对”后，系统将该题记录为“是”。</w:t>
      </w:r>
    </w:p>
    <w:p w14:paraId="518097E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系统需要保存患者与数字医生的完整语音记录、语音转写文本、每道题的原始回答、AI判断结果以及必要的追问确认过程。对于无法确定的内容，不得强行生成答案，应标记为“待人工确认”。</w:t>
      </w:r>
    </w:p>
    <w:bookmarkEnd w:id="3"/>
    <w:p w14:paraId="44FEDAA6">
      <w:pPr>
        <w:pStyle w:val="4"/>
        <w:rPr>
          <w:rFonts w:hint="eastAsia" w:ascii="宋体" w:hAnsi="宋体" w:eastAsia="宋体" w:cs="宋体"/>
        </w:rPr>
      </w:pPr>
      <w:bookmarkStart w:id="4" w:name="第三步采集信息分析和评估"/>
      <w:r>
        <w:rPr>
          <w:rFonts w:hint="eastAsia" w:ascii="宋体" w:hAnsi="宋体" w:eastAsia="宋体" w:cs="宋体"/>
        </w:rPr>
        <w:t>第三步：采集信息分析和评估</w:t>
      </w:r>
    </w:p>
    <w:p w14:paraId="325919F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完成全部信息采集后，系统对本次采集内容进行统一分析。输入内容包括患者与数字医生的完整对话、各项量表回答、医生补充录入的信息以及允许参与分析的其他健康资料。</w:t>
      </w:r>
    </w:p>
    <w:p w14:paraId="519AAB9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系统首先将患者的自然语言回答转换为《量表题目_Demo.txt》中规定的标准答案或标准分值，再严格按照该文件中的评分和判定规则完成评估，不得由大模型自行修改评分规则。</w:t>
      </w:r>
    </w:p>
    <w:p w14:paraId="2327A48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Demo需要生成以下类型的评估标签：FRAIL衰弱评估生成“无衰弱、衰弱前期、衰弱”；MNA-SF营养评估生成“营养正常、存在营养不良风险、营养不良”；跌倒风险筛查生成“跌倒风险筛查阴性、跌倒风险筛查阳性”；中医体质辨识根据《量表题目_Demo.txt》中的题目和判定规则生成相应体质标签，包括平和质、气虚质、阳虚质、阴虚质、痰湿质、湿热质、血瘀质、气郁质和特禀质。若患者同时满足多个偏颇体质的判定条件，系统应保留全部命中的体质标签，不强制只能选择一个。</w:t>
      </w:r>
    </w:p>
    <w:p w14:paraId="77CD01A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系统最终为每名患者形成一个评估标签集合。例如，一名患者可能形成“衰弱、存在营养不良风险、跌倒风险筛查阴性、阴虚质”等多个评估标签。</w:t>
      </w:r>
    </w:p>
    <w:p w14:paraId="3EE517E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所有评估结果均应具有可追溯性。医生点击某个评估标签时，应能够查看该标签对应的量表评分、题目回答和原始对话内容。医生可以对AI生成的答案和评估结果进行审核、修改和确认。</w:t>
      </w:r>
    </w:p>
    <w:bookmarkEnd w:id="4"/>
    <w:p w14:paraId="589F1E21">
      <w:pPr>
        <w:pStyle w:val="4"/>
        <w:rPr>
          <w:rFonts w:hint="eastAsia" w:ascii="宋体" w:hAnsi="宋体" w:eastAsia="宋体" w:cs="宋体"/>
        </w:rPr>
      </w:pPr>
      <w:bookmarkStart w:id="5" w:name="第四步干预方案推荐"/>
      <w:r>
        <w:rPr>
          <w:rFonts w:hint="eastAsia" w:ascii="宋体" w:hAnsi="宋体" w:eastAsia="宋体" w:cs="宋体"/>
        </w:rPr>
        <w:t>第四步：干预方案推荐</w:t>
      </w:r>
    </w:p>
    <w:p w14:paraId="3302E16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系统以第三步生成的全部评估标签作为输入，根据附件《评估标签-干预标签知识图谱映射表_Demo.xlsx》查找每个评估标签对应的干预标签。</w:t>
      </w:r>
    </w:p>
    <w:p w14:paraId="5CCFA40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处理流程如下：首先读取患者本次产生的全部评估标签；然后分别在《评估标签-干预标签知识图谱映射表_Demo.xlsx》中查询每个评估标签对应的全部干预标签；将不同评估标签对应的干预标签进行汇总；对重复出现的干预标签进行去重；最终形成该患者的候选干预标签集合。</w:t>
      </w:r>
    </w:p>
    <w:p w14:paraId="49EE99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患者同时具有“衰弱、存在营养不良风险、跌倒风险筛查阴性、阴虚质”四个评估标签，系统应分别查询这四个标签在《评估标签-干预标签知识图谱映射表_Demo.xlsx》中的所有对应关系，再将得到的八段锦、太极拳、抗阻训练、平衡训练、均衡膳食维持、优质蛋白强化、能量与营养强化、滋阴食养等候选干预标签汇总并去重。</w:t>
      </w:r>
    </w:p>
    <w:p w14:paraId="21AECC4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候选干预标签后，系统再根据附件《干预标签_Demo.xlsx》查找每个干预标签对应的具体执行方案文本。最终向医生和患者展示的内容不能只显示“八段锦”“抗阻训练”“滋阴食养”等标签名称，而必须同时显示《干预标签_Demo.xlsx》中该标签对应的具体执行内容。</w:t>
      </w:r>
    </w:p>
    <w:p w14:paraId="41B967B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系统推荐“抗阻训练”后，应读取《干预标签_Demo.xlsx》中“抗阻训练”对应的完整执行方案，包括每周训练次数、动作类型、每个动作次数、训练组数、阻力要求和建议执行周期；系统推荐“滋阴食养”后，应读取该文件中“滋阴食养”对应的具体食材、制作方法、食用频率和建议执行周期。</w:t>
      </w:r>
    </w:p>
    <w:p w14:paraId="462E170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最终干预方案按照三大类进行展示，包括运动干预、膳食补充和中医食养。系统首先展示推荐的干预标签名称，再展示对应的具体执行方案内容。</w:t>
      </w:r>
    </w:p>
    <w:p w14:paraId="05FA61D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mo阶段暂时按照《评估标签-干预标签知识图谱映射表_Demo.xlsx》中的预设映射关系生成候选干预方案，不要求实现复杂的机器学习推荐算法。当前映射表的作用是建立基础知识图谱关系，即“评估标签—推荐—干预标签”。后续正式产品可在此基础上增加评估标签组合、推荐优先级、禁忌证、患者个体特征和真实干预效果等信息，逐步升级为更加精准的个体化干预推荐系统。</w:t>
      </w:r>
    </w:p>
    <w:p w14:paraId="0380B3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医生应能够对系统自动生成的候选干预方案进行审核，可以删除不适合的方案、保留适合的方案，并在必要时进行人工调整。医生确认后形成患者最终干预方案。</w:t>
      </w:r>
    </w:p>
    <w:bookmarkEnd w:id="5"/>
    <w:p w14:paraId="42C2635E">
      <w:pPr>
        <w:pStyle w:val="4"/>
        <w:rPr>
          <w:rFonts w:hint="eastAsia" w:ascii="宋体" w:hAnsi="宋体" w:eastAsia="宋体" w:cs="宋体"/>
        </w:rPr>
      </w:pPr>
      <w:bookmarkStart w:id="6" w:name="demo完整运行流程"/>
      <w:r>
        <w:rPr>
          <w:rFonts w:hint="eastAsia" w:ascii="宋体" w:hAnsi="宋体" w:eastAsia="宋体" w:cs="宋体"/>
        </w:rPr>
        <w:t>Demo完整运行流程</w:t>
      </w:r>
    </w:p>
    <w:p w14:paraId="0D20C84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医生录入患者基本信息后，患者进入数字医生评估界面。系统依据《量表题目_Demo.txt》完成四类评估的智能化语音采集，并按照其中规定的评分规则生成评估标签。系统随后将患者的全部评估标签输入《评估标签-干预标签知识图谱映射表_Demo.xlsx》，查询并汇总对应的候选干预标签，去除重复项后，再从《干预标签_Demo.xlsx》中读取每个干预标签对应的具体执行内容，最终形成一份分类展示、内容具体、可以直接执行的个体化干预方案，并由医生审核确认。</w:t>
      </w:r>
    </w:p>
    <w:p w14:paraId="6162FE3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因此，本次Demo的核心数据流为：</w:t>
      </w:r>
    </w:p>
    <w:p w14:paraId="30E8FC4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患者原始语音与健康信息 → 《量表题目_Demo.txt》规定的评估规则 → 评估标签集合 → 《评估标签-干预标签知识图谱映射表_Demo.xlsx》 → 干预标签集合 → 《干预标签_Demo.xlsx》 → 具体个体化干预方案。</w:t>
      </w:r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B72A10"/>
    <w:rsid w:val="3C9150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2952</Words>
  <Characters>3179</Characters>
  <Lines>12</Lines>
  <Paragraphs>8</Paragraphs>
  <TotalTime>0</TotalTime>
  <ScaleCrop>false</ScaleCrop>
  <LinksUpToDate>false</LinksUpToDate>
  <CharactersWithSpaces>3193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2026-07-13T14:34:00Z</dcterms:created>
  <dc:creator>黎燚华</dc:creator>
  <cp:lastModifiedBy>黎燚华</cp:lastModifiedBy>
  <dcterms:modified xsi:type="dcterms:W3CDTF">2026-07-13T14:35:15Z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eyJoZGlkIjoiMzEwNTM5NzYwMDRjMzkwZTVkZjY2ODkwMGIxNGU0OTUiLCJ1c2VySWQiOiI1NDEyNjg2NzgifQ==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18C8FA641A21497CA32599DE8C7E19B4_12</vt:lpwstr>
  </property>
</Properties>
</file>