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Project Design Phase</w:t>
      </w:r>
    </w:p>
    <w:p>
      <w:pPr>
        <w:spacing w:after="200"/>
        <w:jc w:val="center"/>
      </w:pPr>
      <w:r>
        <w:rPr>
          <w:b/>
          <w:bCs/>
          <w:sz w:val="28"/>
          <w:szCs w:val="28"/>
        </w:rPr>
        <w:t xml:space="preserve">Proposed Solution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D9D9D9" w:val="clear"/>
            <w:tcMar>
              <w:top w:type="dxa" w:w="80"/>
              <w:left w:type="dxa" w:w="100"/>
              <w:bottom w:type="dxa" w:w="80"/>
              <w:right w:type="dxa" w:w="100"/>
            </w:tcMar>
          </w:tcPr>
          <w:p>
            <w:r>
              <w:rPr>
                <w:b/>
                <w:bCs/>
              </w:rPr>
              <w:t xml:space="preserve">Date</w:t>
            </w:r>
          </w:p>
        </w:tc>
        <w:tc>
          <w:tcPr>
            <w:tcW w:type="dxa" w:w="6850"/>
            <w:tcMar>
              <w:top w:type="dxa" w:w="80"/>
              <w:left w:type="dxa" w:w="100"/>
              <w:bottom w:type="dxa" w:w="80"/>
              <w:right w:type="dxa" w:w="100"/>
            </w:tcMar>
          </w:tcPr>
          <w:p>
            <w:r>
              <w:t xml:space="preserve">13 July 2026</w:t>
            </w:r>
          </w:p>
        </w:tc>
      </w:tr>
      <w:tr>
        <w:tc>
          <w:tcPr>
            <w:tcW w:type="dxa" w:w="2500"/>
            <w:shd w:fill="D9D9D9" w:val="clear"/>
            <w:tcMar>
              <w:top w:type="dxa" w:w="80"/>
              <w:left w:type="dxa" w:w="100"/>
              <w:bottom w:type="dxa" w:w="80"/>
              <w:right w:type="dxa" w:w="100"/>
            </w:tcMar>
          </w:tcPr>
          <w:p>
            <w:r>
              <w:rPr>
                <w:b/>
                <w:bCs/>
              </w:rPr>
              <w:t xml:space="preserve">Team ID</w:t>
            </w:r>
          </w:p>
        </w:tc>
        <w:tc>
          <w:tcPr>
            <w:tcW w:type="dxa" w:w="6850"/>
            <w:tcMar>
              <w:top w:type="dxa" w:w="80"/>
              <w:left w:type="dxa" w:w="100"/>
              <w:bottom w:type="dxa" w:w="80"/>
              <w:right w:type="dxa" w:w="100"/>
            </w:tcMar>
          </w:tcPr>
          <w:p>
            <w:r>
              <w:t xml:space="preserve"/>
            </w:r>
          </w:p>
        </w:tc>
      </w:tr>
      <w:tr>
        <w:tc>
          <w:tcPr>
            <w:tcW w:type="dxa" w:w="2500"/>
            <w:shd w:fill="D9D9D9" w:val="clear"/>
            <w:tcMar>
              <w:top w:type="dxa" w:w="80"/>
              <w:left w:type="dxa" w:w="100"/>
              <w:bottom w:type="dxa" w:w="80"/>
              <w:right w:type="dxa" w:w="100"/>
            </w:tcMar>
          </w:tcPr>
          <w:p>
            <w:r>
              <w:rPr>
                <w:b/>
                <w:bCs/>
              </w:rPr>
              <w:t xml:space="preserve">Project Name</w:t>
            </w:r>
          </w:p>
        </w:tc>
        <w:tc>
          <w:tcPr>
            <w:tcW w:type="dxa" w:w="6850"/>
            <w:tcMar>
              <w:top w:type="dxa" w:w="80"/>
              <w:left w:type="dxa" w:w="100"/>
              <w:bottom w:type="dxa" w:w="80"/>
              <w:right w:type="dxa" w:w="100"/>
            </w:tcMar>
          </w:tcPr>
          <w:p>
            <w:r>
              <w:t xml:space="preserve">Visualizing Housing Market Trends: An Analysis of Sale Prices and Features using Tableau</w:t>
            </w:r>
          </w:p>
        </w:tc>
      </w:tr>
      <w:tr>
        <w:tc>
          <w:tcPr>
            <w:tcW w:type="dxa" w:w="2500"/>
            <w:shd w:fill="D9D9D9" w:val="clear"/>
            <w:tcMar>
              <w:top w:type="dxa" w:w="80"/>
              <w:left w:type="dxa" w:w="100"/>
              <w:bottom w:type="dxa" w:w="80"/>
              <w:right w:type="dxa" w:w="100"/>
            </w:tcMar>
          </w:tcPr>
          <w:p>
            <w:r>
              <w:rPr>
                <w:b/>
                <w:bCs/>
              </w:rPr>
              <w:t xml:space="preserve">Maximum Marks</w:t>
            </w:r>
          </w:p>
        </w:tc>
        <w:tc>
          <w:tcPr>
            <w:tcW w:type="dxa" w:w="6850"/>
            <w:tcMar>
              <w:top w:type="dxa" w:w="80"/>
              <w:left w:type="dxa" w:w="100"/>
              <w:bottom w:type="dxa" w:w="80"/>
              <w:right w:type="dxa" w:w="100"/>
            </w:tcMar>
          </w:tcPr>
          <w:p>
            <w:r>
              <w:t xml:space="preserve">2 Marks</w:t>
            </w:r>
          </w:p>
        </w:tc>
      </w:tr>
    </w:tbl>
    <w:p>
      <w:pPr>
        <w:spacing w:before="200"/>
      </w:pPr>
    </w:p>
    <w:p>
      <w:pPr>
        <w:spacing w:after="120"/>
      </w:pPr>
      <w:r>
        <w:rPr>
          <w:b/>
          <w:bCs/>
          <w:sz w:val="24"/>
          <w:szCs w:val="24"/>
        </w:rPr>
        <w:t xml:space="preserve">Proposed Solution Template:</w:t>
      </w:r>
    </w:p>
    <w:p>
      <w:pPr>
        <w:spacing w:after="160"/>
      </w:pPr>
      <w:r>
        <w:t xml:space="preserve">Project team shall fill the following information in the proposed solution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000"/>
      </w:tblGrid>
      <w:tr>
        <w:trPr>
          <w:tblHeader/>
        </w:trPr>
        <w:tc>
          <w:tcPr>
            <w:tcW w:type="dxa" w:w="700"/>
            <w:shd w:fill="D9D9D9" w:val="clear"/>
            <w:tcMar>
              <w:top w:type="dxa" w:w="80"/>
              <w:left w:type="dxa" w:w="100"/>
              <w:bottom w:type="dxa" w:w="80"/>
              <w:right w:type="dxa" w:w="100"/>
            </w:tcMar>
            <w:vAlign w:val="center"/>
          </w:tcPr>
          <w:p>
            <w:r>
              <w:rPr>
                <w:b/>
                <w:bCs/>
              </w:rPr>
              <w:t xml:space="preserve">S.No.</w:t>
            </w:r>
          </w:p>
        </w:tc>
        <w:tc>
          <w:tcPr>
            <w:tcW w:type="dxa" w:w="2650"/>
            <w:shd w:fill="D9D9D9" w:val="clear"/>
            <w:tcMar>
              <w:top w:type="dxa" w:w="80"/>
              <w:left w:type="dxa" w:w="100"/>
              <w:bottom w:type="dxa" w:w="80"/>
              <w:right w:type="dxa" w:w="100"/>
            </w:tcMar>
            <w:vAlign w:val="center"/>
          </w:tcPr>
          <w:p>
            <w:r>
              <w:rPr>
                <w:b/>
                <w:bCs/>
              </w:rPr>
              <w:t xml:space="preserve">Parameter</w:t>
            </w:r>
          </w:p>
        </w:tc>
        <w:tc>
          <w:tcPr>
            <w:tcW w:type="dxa" w:w="6000"/>
            <w:shd w:fill="D9D9D9" w:val="clear"/>
            <w:tcMar>
              <w:top w:type="dxa" w:w="80"/>
              <w:left w:type="dxa" w:w="100"/>
              <w:bottom w:type="dxa" w:w="80"/>
              <w:right w:type="dxa" w:w="100"/>
            </w:tcMar>
            <w:vAlign w:val="center"/>
          </w:tcPr>
          <w:p>
            <w:r>
              <w:rPr>
                <w:b/>
                <w:bCs/>
              </w:rPr>
              <w:t xml:space="preserve">Description</w:t>
            </w:r>
          </w:p>
        </w:tc>
      </w:tr>
      <w:tr>
        <w:tc>
          <w:tcPr>
            <w:tcW w:type="dxa" w:w="700"/>
            <w:tcMar>
              <w:top w:type="dxa" w:w="80"/>
              <w:left w:type="dxa" w:w="100"/>
              <w:bottom w:type="dxa" w:w="80"/>
              <w:right w:type="dxa" w:w="100"/>
            </w:tcMar>
            <w:vAlign w:val="center"/>
          </w:tcPr>
          <w:p>
            <w:r>
              <w:rPr>
                <w:b w:val="false"/>
                <w:bCs w:val="false"/>
              </w:rPr>
              <w:t xml:space="preserve">1.</w:t>
            </w:r>
          </w:p>
        </w:tc>
        <w:tc>
          <w:tcPr>
            <w:tcW w:type="dxa" w:w="2650"/>
            <w:tcMar>
              <w:top w:type="dxa" w:w="80"/>
              <w:left w:type="dxa" w:w="100"/>
              <w:bottom w:type="dxa" w:w="80"/>
              <w:right w:type="dxa" w:w="100"/>
            </w:tcMar>
            <w:vAlign w:val="center"/>
          </w:tcPr>
          <w:p>
            <w:r>
              <w:rPr>
                <w:b/>
                <w:bCs/>
              </w:rPr>
              <w:t xml:space="preserve">Problem Statement (Problem to be solved)</w:t>
            </w:r>
          </w:p>
        </w:tc>
        <w:tc>
          <w:tcPr>
            <w:tcW w:type="dxa" w:w="6000"/>
            <w:tcMar>
              <w:top w:type="dxa" w:w="80"/>
              <w:left w:type="dxa" w:w="100"/>
              <w:bottom w:type="dxa" w:w="80"/>
              <w:right w:type="dxa" w:w="100"/>
            </w:tcMar>
            <w:vAlign w:val="center"/>
          </w:tcPr>
          <w:p>
            <w:r>
              <w:rPr>
                <w:b w:val="false"/>
                <w:bCs w:val="false"/>
              </w:rPr>
              <w:t xml:space="preserve">Home buyers, sellers and real estate agents lack a structured way to judge whether a house's asking price genuinely reflects its size, condition, age and location. Historical sales data is spread across thousands of property records with dozens of features, making manual analysis difficult and leaving pricing, buying and selling decisions largely based on guesswork rather than data-driven evidence.</w:t>
            </w:r>
          </w:p>
        </w:tc>
      </w:tr>
      <w:tr>
        <w:tc>
          <w:tcPr>
            <w:tcW w:type="dxa" w:w="700"/>
            <w:tcMar>
              <w:top w:type="dxa" w:w="80"/>
              <w:left w:type="dxa" w:w="100"/>
              <w:bottom w:type="dxa" w:w="80"/>
              <w:right w:type="dxa" w:w="100"/>
            </w:tcMar>
            <w:vAlign w:val="center"/>
          </w:tcPr>
          <w:p>
            <w:r>
              <w:rPr>
                <w:b w:val="false"/>
                <w:bCs w:val="false"/>
              </w:rPr>
              <w:t xml:space="preserve">2.</w:t>
            </w:r>
          </w:p>
        </w:tc>
        <w:tc>
          <w:tcPr>
            <w:tcW w:type="dxa" w:w="2650"/>
            <w:tcMar>
              <w:top w:type="dxa" w:w="80"/>
              <w:left w:type="dxa" w:w="100"/>
              <w:bottom w:type="dxa" w:w="80"/>
              <w:right w:type="dxa" w:w="100"/>
            </w:tcMar>
            <w:vAlign w:val="center"/>
          </w:tcPr>
          <w:p>
            <w:r>
              <w:rPr>
                <w:b/>
                <w:bCs/>
              </w:rPr>
              <w:t xml:space="preserve">Idea / Solution description</w:t>
            </w:r>
          </w:p>
        </w:tc>
        <w:tc>
          <w:tcPr>
            <w:tcW w:type="dxa" w:w="6000"/>
            <w:tcMar>
              <w:top w:type="dxa" w:w="80"/>
              <w:left w:type="dxa" w:w="100"/>
              <w:bottom w:type="dxa" w:w="80"/>
              <w:right w:type="dxa" w:w="100"/>
            </w:tcMar>
            <w:vAlign w:val="center"/>
          </w:tcPr>
          <w:p>
            <w:r>
              <w:rPr>
                <w:b w:val="false"/>
                <w:bCs w:val="false"/>
              </w:rPr>
              <w:t xml:space="preserve">The proposed solution uses a housing sales dataset of approximately 21,600 records to build an interactive Tableau Dashboard and Tableau Story analysing how sale price relates to house features (bedrooms, bathrooms, living area, overall grade), renovation status and house age, location (zipcode group), and waterfront view. The dashboard and story are published directly to Tableau Public, giving home buyers, real estate agents and housing market analysts a single, openly accessible interface to explore price-driving patterns through interactive filters.</w:t>
            </w:r>
          </w:p>
        </w:tc>
      </w:tr>
      <w:tr>
        <w:tc>
          <w:tcPr>
            <w:tcW w:type="dxa" w:w="700"/>
            <w:tcMar>
              <w:top w:type="dxa" w:w="80"/>
              <w:left w:type="dxa" w:w="100"/>
              <w:bottom w:type="dxa" w:w="80"/>
              <w:right w:type="dxa" w:w="100"/>
            </w:tcMar>
            <w:vAlign w:val="center"/>
          </w:tcPr>
          <w:p>
            <w:r>
              <w:rPr>
                <w:b w:val="false"/>
                <w:bCs w:val="false"/>
              </w:rPr>
              <w:t xml:space="preserve">3.</w:t>
            </w:r>
          </w:p>
        </w:tc>
        <w:tc>
          <w:tcPr>
            <w:tcW w:type="dxa" w:w="2650"/>
            <w:tcMar>
              <w:top w:type="dxa" w:w="80"/>
              <w:left w:type="dxa" w:w="100"/>
              <w:bottom w:type="dxa" w:w="80"/>
              <w:right w:type="dxa" w:w="100"/>
            </w:tcMar>
            <w:vAlign w:val="center"/>
          </w:tcPr>
          <w:p>
            <w:r>
              <w:rPr>
                <w:b/>
                <w:bCs/>
              </w:rPr>
              <w:t xml:space="preserve">Novelty / Uniqueness</w:t>
            </w:r>
          </w:p>
        </w:tc>
        <w:tc>
          <w:tcPr>
            <w:tcW w:type="dxa" w:w="6000"/>
            <w:tcMar>
              <w:top w:type="dxa" w:w="80"/>
              <w:left w:type="dxa" w:w="100"/>
              <w:bottom w:type="dxa" w:w="80"/>
              <w:right w:type="dxa" w:w="100"/>
            </w:tcMar>
            <w:vAlign w:val="center"/>
          </w:tcPr>
          <w:p>
            <w:r>
              <w:rPr>
                <w:b w:val="false"/>
                <w:bCs w:val="false"/>
              </w:rPr>
              <w:t xml:space="preserve">Rather than static price reports, the solution offers an interactive Tableau Dashboard with drill-down filters (zipcode group, bedrooms, bathrooms, price range) alongside a guided Tableau Story that narrates renovation, house-age and bedroom-driven insights in sequence. Publishing directly to Tableau Public removes the need for any custom web application or hosting infrastructure, keeping the solution lightweight and freely accessible.</w:t>
            </w:r>
          </w:p>
        </w:tc>
      </w:tr>
      <w:tr>
        <w:tc>
          <w:tcPr>
            <w:tcW w:type="dxa" w:w="700"/>
            <w:tcMar>
              <w:top w:type="dxa" w:w="80"/>
              <w:left w:type="dxa" w:w="100"/>
              <w:bottom w:type="dxa" w:w="80"/>
              <w:right w:type="dxa" w:w="100"/>
            </w:tcMar>
            <w:vAlign w:val="center"/>
          </w:tcPr>
          <w:p>
            <w:r>
              <w:rPr>
                <w:b w:val="false"/>
                <w:bCs w:val="false"/>
              </w:rPr>
              <w:t xml:space="preserve">4.</w:t>
            </w:r>
          </w:p>
        </w:tc>
        <w:tc>
          <w:tcPr>
            <w:tcW w:type="dxa" w:w="2650"/>
            <w:tcMar>
              <w:top w:type="dxa" w:w="80"/>
              <w:left w:type="dxa" w:w="100"/>
              <w:bottom w:type="dxa" w:w="80"/>
              <w:right w:type="dxa" w:w="100"/>
            </w:tcMar>
            <w:vAlign w:val="center"/>
          </w:tcPr>
          <w:p>
            <w:r>
              <w:rPr>
                <w:b/>
                <w:bCs/>
              </w:rPr>
              <w:t xml:space="preserve">Social Impact / Customer Satisfaction</w:t>
            </w:r>
          </w:p>
        </w:tc>
        <w:tc>
          <w:tcPr>
            <w:tcW w:type="dxa" w:w="6000"/>
            <w:tcMar>
              <w:top w:type="dxa" w:w="80"/>
              <w:left w:type="dxa" w:w="100"/>
              <w:bottom w:type="dxa" w:w="80"/>
              <w:right w:type="dxa" w:w="100"/>
            </w:tcMar>
            <w:vAlign w:val="center"/>
          </w:tcPr>
          <w:p>
            <w:r>
              <w:rPr>
                <w:b w:val="false"/>
                <w:bCs w:val="false"/>
              </w:rPr>
              <w:t xml:space="preserve">Home buyers gain confidence that a listed price genuinely reflects a home's features, condition and location, while real estate agents and analysts can back their pricing and valuation recommendations with data rather than guesswork. This transparency supports fairer, more informed buying, selling and pricing decisions across the housing market.</w:t>
            </w:r>
          </w:p>
        </w:tc>
      </w:tr>
      <w:tr>
        <w:tc>
          <w:tcPr>
            <w:tcW w:type="dxa" w:w="700"/>
            <w:tcMar>
              <w:top w:type="dxa" w:w="80"/>
              <w:left w:type="dxa" w:w="100"/>
              <w:bottom w:type="dxa" w:w="80"/>
              <w:right w:type="dxa" w:w="100"/>
            </w:tcMar>
            <w:vAlign w:val="center"/>
          </w:tcPr>
          <w:p>
            <w:r>
              <w:rPr>
                <w:b w:val="false"/>
                <w:bCs w:val="false"/>
              </w:rPr>
              <w:t xml:space="preserve">5.</w:t>
            </w:r>
          </w:p>
        </w:tc>
        <w:tc>
          <w:tcPr>
            <w:tcW w:type="dxa" w:w="2650"/>
            <w:tcMar>
              <w:top w:type="dxa" w:w="80"/>
              <w:left w:type="dxa" w:w="100"/>
              <w:bottom w:type="dxa" w:w="80"/>
              <w:right w:type="dxa" w:w="100"/>
            </w:tcMar>
            <w:vAlign w:val="center"/>
          </w:tcPr>
          <w:p>
            <w:r>
              <w:rPr>
                <w:b/>
                <w:bCs/>
              </w:rPr>
              <w:t xml:space="preserve">Business Model (Revenue Model)</w:t>
            </w:r>
          </w:p>
        </w:tc>
        <w:tc>
          <w:tcPr>
            <w:tcW w:type="dxa" w:w="6000"/>
            <w:tcMar>
              <w:top w:type="dxa" w:w="80"/>
              <w:left w:type="dxa" w:w="100"/>
              <w:bottom w:type="dxa" w:w="80"/>
              <w:right w:type="dxa" w:w="100"/>
            </w:tcMar>
            <w:vAlign w:val="center"/>
          </w:tcPr>
          <w:p>
            <w:r>
              <w:rPr>
                <w:b w:val="false"/>
                <w:bCs w:val="false"/>
              </w:rPr>
              <w:t xml:space="preserve">The dashboard can be offered as a free public resource to build trust and visibility, with revenue generated through premium services such as custom dashboards for brokerages, region-specific market reports, and consulting engagements that help real estate businesses interpret and act on their housing-market data.</w:t>
            </w:r>
          </w:p>
        </w:tc>
      </w:tr>
      <w:tr>
        <w:tc>
          <w:tcPr>
            <w:tcW w:type="dxa" w:w="700"/>
            <w:tcMar>
              <w:top w:type="dxa" w:w="80"/>
              <w:left w:type="dxa" w:w="100"/>
              <w:bottom w:type="dxa" w:w="80"/>
              <w:right w:type="dxa" w:w="100"/>
            </w:tcMar>
            <w:vAlign w:val="center"/>
          </w:tcPr>
          <w:p>
            <w:r>
              <w:rPr>
                <w:b w:val="false"/>
                <w:bCs w:val="false"/>
              </w:rPr>
              <w:t xml:space="preserve">6.</w:t>
            </w:r>
          </w:p>
        </w:tc>
        <w:tc>
          <w:tcPr>
            <w:tcW w:type="dxa" w:w="2650"/>
            <w:tcMar>
              <w:top w:type="dxa" w:w="80"/>
              <w:left w:type="dxa" w:w="100"/>
              <w:bottom w:type="dxa" w:w="80"/>
              <w:right w:type="dxa" w:w="100"/>
            </w:tcMar>
            <w:vAlign w:val="center"/>
          </w:tcPr>
          <w:p>
            <w:r>
              <w:rPr>
                <w:b/>
                <w:bCs/>
              </w:rPr>
              <w:t xml:space="preserve">Scalability of the Solution</w:t>
            </w:r>
          </w:p>
        </w:tc>
        <w:tc>
          <w:tcPr>
            <w:tcW w:type="dxa" w:w="6000"/>
            <w:tcMar>
              <w:top w:type="dxa" w:w="80"/>
              <w:left w:type="dxa" w:w="100"/>
              <w:bottom w:type="dxa" w:w="80"/>
              <w:right w:type="dxa" w:w="100"/>
            </w:tcMar>
            <w:vAlign w:val="center"/>
          </w:tcPr>
          <w:p>
            <w:r>
              <w:rPr>
                <w:b w:val="false"/>
                <w:bCs w:val="false"/>
              </w:rPr>
              <w:t xml:space="preserve">The solution can be extended with additional datasets covering new cities, zipcode groups or time periods, and can incorporate predictive price modelling as future scope once a longer time-series dataset is available. Additional dashboards and story points can be added to the existing Tableau workbook without restructuring the overall project.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2026-07-13T07:22:36.540Z</dcterms:created>
  <dcterms:modified xsi:type="dcterms:W3CDTF">2026-07-13T07:22:36.540Z</dcterms:modified>
</cp:coreProperties>
</file>

<file path=docProps/custom.xml><?xml version="1.0" encoding="utf-8"?>
<Properties xmlns="http://schemas.openxmlformats.org/officeDocument/2006/custom-properties" xmlns:vt="http://schemas.openxmlformats.org/officeDocument/2006/docPropsVTypes"/>
</file>