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6B9F" w14:textId="55D3A9BE" w:rsidR="00852BF4" w:rsidRDefault="00852BF4" w:rsidP="00852BF4">
      <w:pPr>
        <w:jc w:val="both"/>
        <w:rPr>
          <w:rFonts w:ascii="Arial" w:hAnsi="Arial" w:cs="Arial"/>
          <w:color w:val="222222"/>
          <w:shd w:val="clear" w:color="auto" w:fill="FFFFFF"/>
        </w:rPr>
      </w:pPr>
      <w:r>
        <w:rPr>
          <w:rFonts w:ascii="Arial" w:hAnsi="Arial" w:cs="Arial"/>
          <w:color w:val="222222"/>
          <w:shd w:val="clear" w:color="auto" w:fill="FFFFFF"/>
        </w:rPr>
        <w:t>The Unit 6 Risk Identification Report was a team</w:t>
      </w:r>
      <w:r w:rsidR="005A742D">
        <w:rPr>
          <w:rFonts w:ascii="Arial" w:hAnsi="Arial" w:cs="Arial"/>
          <w:color w:val="222222"/>
          <w:shd w:val="clear" w:color="auto" w:fill="FFFFFF"/>
        </w:rPr>
        <w:t xml:space="preserve"> </w:t>
      </w:r>
      <w:r>
        <w:rPr>
          <w:rFonts w:ascii="Arial" w:hAnsi="Arial" w:cs="Arial"/>
          <w:color w:val="222222"/>
          <w:shd w:val="clear" w:color="auto" w:fill="FFFFFF"/>
        </w:rPr>
        <w:t xml:space="preserve">produced status document that applied STRIDE for current IT infrastructure assessment and NIST SP 800-30 for digitalization risk evaluation, using a qualitative 1-3 severity-likelihood scale to classify risks as High, Medium, or Low. The scope was limited to cybersecurity risks within Pampered Pets’ IT systems and proposed digital initiatives, disaster recovery was addressed only as a general recommendation to “deploy cloud services with DR capabilities,” and GDPR compliance was covered in a single sentence. While the document provided a solid and structured foundation for risk identification, it did not produce measurable, financially quantified outputs that an </w:t>
      </w:r>
      <w:r>
        <w:rPr>
          <w:rFonts w:ascii="Arial" w:hAnsi="Arial" w:cs="Arial"/>
          <w:color w:val="222222"/>
          <w:shd w:val="clear" w:color="auto" w:fill="FFFFFF"/>
        </w:rPr>
        <w:t>organization</w:t>
      </w:r>
      <w:r>
        <w:rPr>
          <w:rFonts w:ascii="Arial" w:hAnsi="Arial" w:cs="Arial"/>
          <w:color w:val="222222"/>
          <w:shd w:val="clear" w:color="auto" w:fill="FFFFFF"/>
        </w:rPr>
        <w:t xml:space="preserve"> could act upon strategically.</w:t>
      </w:r>
    </w:p>
    <w:p w14:paraId="14DE7E50" w14:textId="00F30072" w:rsidR="00852BF4" w:rsidRDefault="00852BF4" w:rsidP="00852BF4">
      <w:pPr>
        <w:jc w:val="both"/>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 xml:space="preserve">The Unit 11 Executive Summary, authored independently, demonstrated advancement across every dimension. Methodologically, qualitative ratings were replaced by FMEA-based Risk Priority Number calculations scoring risks on Severity, Occurrence, and Detectability on a 1-10 scale </w:t>
      </w:r>
      <w:r w:rsidR="005A742D">
        <w:rPr>
          <w:rFonts w:ascii="Arial" w:hAnsi="Arial" w:cs="Arial"/>
          <w:color w:val="222222"/>
          <w:shd w:val="clear" w:color="auto" w:fill="FFFFFF"/>
        </w:rPr>
        <w:t>each producing</w:t>
      </w:r>
      <w:r>
        <w:rPr>
          <w:rFonts w:ascii="Arial" w:hAnsi="Arial" w:cs="Arial"/>
          <w:color w:val="222222"/>
          <w:shd w:val="clear" w:color="auto" w:fill="FFFFFF"/>
        </w:rPr>
        <w:t xml:space="preserve"> RPN scores up to 240 for supplier quality deviation, alongside Monte Carlo simulation of 10,000 iterations that yielded a 74% annual probability of at least one significant quality failure and an </w:t>
      </w:r>
      <w:r>
        <w:rPr>
          <w:rFonts w:ascii="Arial" w:hAnsi="Arial" w:cs="Arial"/>
          <w:color w:val="222222"/>
          <w:shd w:val="clear" w:color="auto" w:fill="FFFFFF"/>
        </w:rPr>
        <w:t>annualized</w:t>
      </w:r>
      <w:r>
        <w:rPr>
          <w:rFonts w:ascii="Arial" w:hAnsi="Arial" w:cs="Arial"/>
          <w:color w:val="222222"/>
          <w:shd w:val="clear" w:color="auto" w:fill="FFFFFF"/>
        </w:rPr>
        <w:t xml:space="preserve"> expected supply chain loss of £410,500. The risk scope expanded from cyber</w:t>
      </w:r>
      <w:r w:rsidR="005A742D">
        <w:rPr>
          <w:rFonts w:ascii="Arial" w:hAnsi="Arial" w:cs="Arial"/>
          <w:color w:val="222222"/>
          <w:shd w:val="clear" w:color="auto" w:fill="FFFFFF"/>
        </w:rPr>
        <w:t xml:space="preserve"> </w:t>
      </w:r>
      <w:r>
        <w:rPr>
          <w:rFonts w:ascii="Arial" w:hAnsi="Arial" w:cs="Arial"/>
          <w:color w:val="222222"/>
          <w:shd w:val="clear" w:color="auto" w:fill="FFFFFF"/>
        </w:rPr>
        <w:t>only to encompass product quality, supply chain disruption, geopolitical and regulatory risk, and full business continuity planning. Disaster recovery advanced from a conceptual mention to a fully specified AWS active-active multi-region architecture with sub-one-minute RTO and RPO, incorporating AWS Route 53, RDS Multi-AZ synchronous replication, Auto Scaling, Shield Standard, and vendor lock-in mitigation through Docker, Kubernetes, and Terraform. GDPR treatment expanded from one sentence to a complete legal compliance framework covering Standard Contractual Clauses, Data Protection Officer appointment, Transfer Impact Assessments, Records of Processing Activities, and Article 83 fine exposure of up to 4% of global annual turnover.</w:t>
      </w:r>
    </w:p>
    <w:p w14:paraId="6D1D4061" w14:textId="76F4B66A" w:rsidR="00CD1C46" w:rsidRDefault="00852BF4" w:rsidP="00852BF4">
      <w:pPr>
        <w:jc w:val="both"/>
      </w:pPr>
      <w:r>
        <w:rPr>
          <w:rFonts w:ascii="Arial" w:hAnsi="Arial" w:cs="Arial"/>
          <w:color w:val="222222"/>
        </w:rPr>
        <w:br/>
      </w:r>
      <w:r>
        <w:rPr>
          <w:rFonts w:ascii="Arial" w:hAnsi="Arial" w:cs="Arial"/>
          <w:color w:val="222222"/>
          <w:shd w:val="clear" w:color="auto" w:fill="FFFFFF"/>
        </w:rPr>
        <w:t xml:space="preserve">The progression between the two documents demonstrates that the theoretical frameworks introduced across the module Monte Carlo simulation from Units 7 and 8, disaster recovery architecture from Units 9 and 10, and enterprise risk governance from Unit 5 were not merely studied but successfully </w:t>
      </w:r>
      <w:r>
        <w:rPr>
          <w:rFonts w:ascii="Arial" w:hAnsi="Arial" w:cs="Arial"/>
          <w:color w:val="222222"/>
          <w:shd w:val="clear" w:color="auto" w:fill="FFFFFF"/>
        </w:rPr>
        <w:t>internalized</w:t>
      </w:r>
      <w:r>
        <w:rPr>
          <w:rFonts w:ascii="Arial" w:hAnsi="Arial" w:cs="Arial"/>
          <w:color w:val="222222"/>
          <w:shd w:val="clear" w:color="auto" w:fill="FFFFFF"/>
        </w:rPr>
        <w:t xml:space="preserve"> and applied independently to a more complex scenario, representing the full arc of learning from initial risk identification to professional-grade quantitative risk management practice.</w:t>
      </w:r>
    </w:p>
    <w:sectPr w:rsidR="00CD1C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F4"/>
    <w:rsid w:val="005A742D"/>
    <w:rsid w:val="00847136"/>
    <w:rsid w:val="00852BF4"/>
    <w:rsid w:val="0085685E"/>
    <w:rsid w:val="00B1172D"/>
    <w:rsid w:val="00CD1C46"/>
    <w:rsid w:val="00D73D48"/>
    <w:rsid w:val="00E46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13B4"/>
  <w15:chartTrackingRefBased/>
  <w15:docId w15:val="{DD783E2E-420D-470E-A150-AD788CC1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BF4"/>
    <w:rPr>
      <w:rFonts w:eastAsiaTheme="majorEastAsia" w:cstheme="majorBidi"/>
      <w:color w:val="272727" w:themeColor="text1" w:themeTint="D8"/>
    </w:rPr>
  </w:style>
  <w:style w:type="paragraph" w:styleId="Title">
    <w:name w:val="Title"/>
    <w:basedOn w:val="Normal"/>
    <w:next w:val="Normal"/>
    <w:link w:val="TitleChar"/>
    <w:uiPriority w:val="10"/>
    <w:qFormat/>
    <w:rsid w:val="0085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BF4"/>
    <w:pPr>
      <w:spacing w:before="160"/>
      <w:jc w:val="center"/>
    </w:pPr>
    <w:rPr>
      <w:i/>
      <w:iCs/>
      <w:color w:val="404040" w:themeColor="text1" w:themeTint="BF"/>
    </w:rPr>
  </w:style>
  <w:style w:type="character" w:customStyle="1" w:styleId="QuoteChar">
    <w:name w:val="Quote Char"/>
    <w:basedOn w:val="DefaultParagraphFont"/>
    <w:link w:val="Quote"/>
    <w:uiPriority w:val="29"/>
    <w:rsid w:val="00852BF4"/>
    <w:rPr>
      <w:i/>
      <w:iCs/>
      <w:color w:val="404040" w:themeColor="text1" w:themeTint="BF"/>
    </w:rPr>
  </w:style>
  <w:style w:type="paragraph" w:styleId="ListParagraph">
    <w:name w:val="List Paragraph"/>
    <w:basedOn w:val="Normal"/>
    <w:uiPriority w:val="34"/>
    <w:qFormat/>
    <w:rsid w:val="00852BF4"/>
    <w:pPr>
      <w:ind w:left="720"/>
      <w:contextualSpacing/>
    </w:pPr>
  </w:style>
  <w:style w:type="character" w:styleId="IntenseEmphasis">
    <w:name w:val="Intense Emphasis"/>
    <w:basedOn w:val="DefaultParagraphFont"/>
    <w:uiPriority w:val="21"/>
    <w:qFormat/>
    <w:rsid w:val="00852BF4"/>
    <w:rPr>
      <w:i/>
      <w:iCs/>
      <w:color w:val="2F5496" w:themeColor="accent1" w:themeShade="BF"/>
    </w:rPr>
  </w:style>
  <w:style w:type="paragraph" w:styleId="IntenseQuote">
    <w:name w:val="Intense Quote"/>
    <w:basedOn w:val="Normal"/>
    <w:next w:val="Normal"/>
    <w:link w:val="IntenseQuoteChar"/>
    <w:uiPriority w:val="30"/>
    <w:qFormat/>
    <w:rsid w:val="0085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BF4"/>
    <w:rPr>
      <w:i/>
      <w:iCs/>
      <w:color w:val="2F5496" w:themeColor="accent1" w:themeShade="BF"/>
    </w:rPr>
  </w:style>
  <w:style w:type="character" w:styleId="IntenseReference">
    <w:name w:val="Intense Reference"/>
    <w:basedOn w:val="DefaultParagraphFont"/>
    <w:uiPriority w:val="32"/>
    <w:qFormat/>
    <w:rsid w:val="0085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LABFNFNGMBITRUS</dc:creator>
  <cp:keywords/>
  <dc:description/>
  <cp:lastModifiedBy>LABFNFNGMBITRUS</cp:lastModifiedBy>
  <cp:revision>2</cp:revision>
  <dcterms:created xsi:type="dcterms:W3CDTF">2026-04-18T08:23:00Z</dcterms:created>
  <dcterms:modified xsi:type="dcterms:W3CDTF">2026-04-18T08:23:00Z</dcterms:modified>
</cp:coreProperties>
</file>