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FE282" w14:textId="37B34F7D" w:rsidR="009416A2" w:rsidRDefault="009416A2" w:rsidP="000914A1">
      <w:pPr>
        <w:shd w:val="clear" w:color="auto" w:fill="FFFFFF"/>
        <w:jc w:val="both"/>
        <w:rPr>
          <w:rFonts w:ascii="Arial" w:eastAsia="Times New Roman" w:hAnsi="Arial" w:cs="Arial"/>
          <w:color w:val="222222"/>
          <w:sz w:val="24"/>
          <w:szCs w:val="24"/>
          <w:lang w:val="en-NG" w:eastAsia="en-NG"/>
        </w:rPr>
      </w:pPr>
      <w:r w:rsidRPr="000914A1">
        <w:rPr>
          <w:sz w:val="24"/>
          <w:szCs w:val="24"/>
        </w:rPr>
        <w:t>UNIT 1</w:t>
      </w:r>
      <w:r>
        <w:t xml:space="preserve">- </w:t>
      </w:r>
      <w:r w:rsidRPr="009416A2">
        <w:rPr>
          <w:rFonts w:ascii="Arial" w:eastAsia="Times New Roman" w:hAnsi="Arial" w:cs="Arial"/>
          <w:color w:val="222222"/>
          <w:sz w:val="24"/>
          <w:szCs w:val="24"/>
          <w:lang w:val="en-NG" w:eastAsia="en-NG"/>
        </w:rPr>
        <w:t xml:space="preserve">This </w:t>
      </w:r>
      <w:r>
        <w:rPr>
          <w:rFonts w:ascii="Arial" w:eastAsia="Times New Roman" w:hAnsi="Arial" w:cs="Arial"/>
          <w:color w:val="222222"/>
          <w:sz w:val="24"/>
          <w:szCs w:val="24"/>
          <w:lang w:val="en-NG" w:eastAsia="en-NG"/>
        </w:rPr>
        <w:t>Artefacts</w:t>
      </w:r>
      <w:r w:rsidRPr="009416A2">
        <w:rPr>
          <w:rFonts w:ascii="Arial" w:eastAsia="Times New Roman" w:hAnsi="Arial" w:cs="Arial"/>
          <w:color w:val="222222"/>
          <w:sz w:val="24"/>
          <w:szCs w:val="24"/>
          <w:lang w:val="en-NG" w:eastAsia="en-NG"/>
        </w:rPr>
        <w:t xml:space="preserve"> demonstrates my critical engagement with the ethical dimensions of technology deployment in human rights contexts, examining risks including algorithmic bias, transparency deficits in automated systems, and contextual blindness arising from excluding affected communities in technology design. Drawing on six peer-reviewed sources, I argued that responsible technology use requires strong commitments to participation, accountability, and transparency to prevent reinforcement of existing power imbalances. This artefact evidences my ability to analyse technology-related risks beyond purely technical </w:t>
      </w:r>
      <w:r w:rsidRPr="009416A2">
        <w:rPr>
          <w:rFonts w:ascii="Arial" w:eastAsia="Times New Roman" w:hAnsi="Arial" w:cs="Arial"/>
          <w:color w:val="222222"/>
          <w:sz w:val="24"/>
          <w:szCs w:val="24"/>
          <w:lang w:val="en-NG" w:eastAsia="en-NG"/>
        </w:rPr>
        <w:t>parameters connecting</w:t>
      </w:r>
      <w:r w:rsidRPr="009416A2">
        <w:rPr>
          <w:rFonts w:ascii="Arial" w:eastAsia="Times New Roman" w:hAnsi="Arial" w:cs="Arial"/>
          <w:color w:val="222222"/>
          <w:sz w:val="24"/>
          <w:szCs w:val="24"/>
          <w:lang w:val="en-NG" w:eastAsia="en-NG"/>
        </w:rPr>
        <w:t xml:space="preserve"> societal, ethical, and governance considerations to the broader Security and Risk Management learning outcomes of this module.​​​​​​​​​​​​​​​​</w:t>
      </w:r>
    </w:p>
    <w:p w14:paraId="32E95B03" w14:textId="77777777" w:rsidR="009416A2" w:rsidRDefault="009416A2" w:rsidP="000914A1">
      <w:pPr>
        <w:shd w:val="clear" w:color="auto" w:fill="FFFFFF"/>
        <w:jc w:val="both"/>
        <w:rPr>
          <w:rFonts w:ascii="Arial" w:eastAsia="Times New Roman" w:hAnsi="Arial" w:cs="Arial"/>
          <w:color w:val="222222"/>
          <w:sz w:val="24"/>
          <w:szCs w:val="24"/>
          <w:lang w:val="en-NG" w:eastAsia="en-NG"/>
        </w:rPr>
      </w:pPr>
    </w:p>
    <w:p w14:paraId="037C9F53" w14:textId="09452B62" w:rsidR="009416A2" w:rsidRDefault="009416A2" w:rsidP="000914A1">
      <w:pPr>
        <w:shd w:val="clear" w:color="auto" w:fill="FFFFFF"/>
        <w:jc w:val="both"/>
        <w:rPr>
          <w:rFonts w:ascii="Arial" w:eastAsia="Times New Roman" w:hAnsi="Arial" w:cs="Arial"/>
          <w:color w:val="222222"/>
          <w:sz w:val="24"/>
          <w:szCs w:val="24"/>
          <w:lang w:val="en-NG" w:eastAsia="en-NG"/>
        </w:rPr>
      </w:pPr>
      <w:r>
        <w:rPr>
          <w:rFonts w:ascii="Arial" w:eastAsia="Times New Roman" w:hAnsi="Arial" w:cs="Arial"/>
          <w:color w:val="222222"/>
          <w:sz w:val="24"/>
          <w:szCs w:val="24"/>
          <w:lang w:val="en-NG" w:eastAsia="en-NG"/>
        </w:rPr>
        <w:t>UNIT 2 -</w:t>
      </w:r>
      <w:r w:rsidRPr="009416A2">
        <w:rPr>
          <w:rFonts w:ascii="Arial" w:eastAsia="Times New Roman" w:hAnsi="Arial" w:cs="Arial"/>
          <w:color w:val="222222"/>
          <w:sz w:val="24"/>
          <w:szCs w:val="24"/>
          <w:lang w:val="en-NG" w:eastAsia="en-NG"/>
        </w:rPr>
        <w:t xml:space="preserve"> </w:t>
      </w:r>
      <w:r w:rsidRPr="009416A2">
        <w:rPr>
          <w:rFonts w:ascii="Arial" w:eastAsia="Times New Roman" w:hAnsi="Arial" w:cs="Arial"/>
          <w:color w:val="222222"/>
          <w:sz w:val="24"/>
          <w:szCs w:val="24"/>
          <w:lang w:val="en-NG" w:eastAsia="en-NG"/>
        </w:rPr>
        <w:t xml:space="preserve">In two peer responses submitted, I engaged critically with colleagues’ analyses of algorithmic bias and data-driven risks in human rights investigations, extending both arguments through additional scholarship including </w:t>
      </w:r>
      <w:proofErr w:type="spellStart"/>
      <w:r w:rsidRPr="009416A2">
        <w:rPr>
          <w:rFonts w:ascii="Arial" w:eastAsia="Times New Roman" w:hAnsi="Arial" w:cs="Arial"/>
          <w:color w:val="222222"/>
          <w:sz w:val="24"/>
          <w:szCs w:val="24"/>
          <w:lang w:val="en-NG" w:eastAsia="en-NG"/>
        </w:rPr>
        <w:t>Diakopoulos</w:t>
      </w:r>
      <w:proofErr w:type="spellEnd"/>
      <w:r w:rsidRPr="009416A2">
        <w:rPr>
          <w:rFonts w:ascii="Arial" w:eastAsia="Times New Roman" w:hAnsi="Arial" w:cs="Arial"/>
          <w:color w:val="222222"/>
          <w:sz w:val="24"/>
          <w:szCs w:val="24"/>
          <w:lang w:val="en-NG" w:eastAsia="en-NG"/>
        </w:rPr>
        <w:t xml:space="preserve">’ (2016) accountability framework and </w:t>
      </w:r>
      <w:proofErr w:type="spellStart"/>
      <w:r w:rsidRPr="009416A2">
        <w:rPr>
          <w:rFonts w:ascii="Arial" w:eastAsia="Times New Roman" w:hAnsi="Arial" w:cs="Arial"/>
          <w:color w:val="222222"/>
          <w:sz w:val="24"/>
          <w:szCs w:val="24"/>
          <w:lang w:val="en-NG" w:eastAsia="en-NG"/>
        </w:rPr>
        <w:t>Couldry</w:t>
      </w:r>
      <w:proofErr w:type="spellEnd"/>
      <w:r w:rsidRPr="009416A2">
        <w:rPr>
          <w:rFonts w:ascii="Arial" w:eastAsia="Times New Roman" w:hAnsi="Arial" w:cs="Arial"/>
          <w:color w:val="222222"/>
          <w:sz w:val="24"/>
          <w:szCs w:val="24"/>
          <w:lang w:val="en-NG" w:eastAsia="en-NG"/>
        </w:rPr>
        <w:t xml:space="preserve"> and Mejias’ (2019) concept of data colonialism. Rather than merely affirming their positions, I pushed each discussion further by introducing new theoretical dimensions around transparency, contestability, and geopolitical power asymmetries in data representation. These responses evidence my active collaborative participation and my ability to synthesise interdisciplinary literature in ways that deepen collective understanding of governance and accountability risks within the module.​​​​​​​​​​​​​​​​</w:t>
      </w:r>
    </w:p>
    <w:p w14:paraId="73DEF29F" w14:textId="77777777" w:rsidR="009416A2" w:rsidRDefault="009416A2" w:rsidP="000914A1">
      <w:pPr>
        <w:shd w:val="clear" w:color="auto" w:fill="FFFFFF"/>
        <w:jc w:val="both"/>
        <w:rPr>
          <w:rFonts w:ascii="Arial" w:eastAsia="Times New Roman" w:hAnsi="Arial" w:cs="Arial"/>
          <w:color w:val="222222"/>
          <w:sz w:val="24"/>
          <w:szCs w:val="24"/>
          <w:lang w:val="en-NG" w:eastAsia="en-NG"/>
        </w:rPr>
      </w:pPr>
    </w:p>
    <w:p w14:paraId="0E69CC30" w14:textId="27164DF2" w:rsidR="009416A2" w:rsidRDefault="009416A2" w:rsidP="000914A1">
      <w:pPr>
        <w:shd w:val="clear" w:color="auto" w:fill="FFFFFF"/>
        <w:jc w:val="both"/>
        <w:rPr>
          <w:rFonts w:ascii="Arial" w:eastAsia="Times New Roman" w:hAnsi="Arial" w:cs="Arial"/>
          <w:color w:val="222222"/>
          <w:sz w:val="24"/>
          <w:szCs w:val="24"/>
          <w:lang w:val="en-NG" w:eastAsia="en-NG"/>
        </w:rPr>
      </w:pPr>
      <w:r>
        <w:rPr>
          <w:rFonts w:ascii="Arial" w:eastAsia="Times New Roman" w:hAnsi="Arial" w:cs="Arial"/>
          <w:color w:val="222222"/>
          <w:sz w:val="24"/>
          <w:szCs w:val="24"/>
          <w:lang w:val="en-NG" w:eastAsia="en-NG"/>
        </w:rPr>
        <w:t xml:space="preserve">UNITE </w:t>
      </w:r>
      <w:r w:rsidR="00487945">
        <w:rPr>
          <w:rFonts w:ascii="Arial" w:eastAsia="Times New Roman" w:hAnsi="Arial" w:cs="Arial"/>
          <w:color w:val="222222"/>
          <w:sz w:val="24"/>
          <w:szCs w:val="24"/>
          <w:lang w:val="en-NG" w:eastAsia="en-NG"/>
        </w:rPr>
        <w:t>3</w:t>
      </w:r>
    </w:p>
    <w:p w14:paraId="01714AAD" w14:textId="1DB90945" w:rsidR="00487945" w:rsidRDefault="00487945" w:rsidP="000914A1">
      <w:pPr>
        <w:shd w:val="clear" w:color="auto" w:fill="FFFFFF"/>
        <w:jc w:val="both"/>
        <w:rPr>
          <w:rFonts w:ascii="Arial" w:eastAsia="Times New Roman" w:hAnsi="Arial" w:cs="Arial"/>
          <w:color w:val="222222"/>
          <w:sz w:val="24"/>
          <w:szCs w:val="24"/>
          <w:lang w:eastAsia="en-NG"/>
        </w:rPr>
      </w:pPr>
      <w:r w:rsidRPr="00487945">
        <w:rPr>
          <w:rFonts w:ascii="Arial" w:eastAsia="Times New Roman" w:hAnsi="Arial" w:cs="Arial"/>
          <w:color w:val="222222"/>
          <w:sz w:val="24"/>
          <w:szCs w:val="24"/>
          <w:lang w:eastAsia="en-NG"/>
        </w:rPr>
        <w:t xml:space="preserve">Engagement with the Unit 3 required reading, particularly Aven and </w:t>
      </w:r>
      <w:proofErr w:type="spellStart"/>
      <w:r w:rsidRPr="00487945">
        <w:rPr>
          <w:rFonts w:ascii="Arial" w:eastAsia="Times New Roman" w:hAnsi="Arial" w:cs="Arial"/>
          <w:color w:val="222222"/>
          <w:sz w:val="24"/>
          <w:szCs w:val="24"/>
          <w:lang w:eastAsia="en-NG"/>
        </w:rPr>
        <w:t>Thekdi’s</w:t>
      </w:r>
      <w:proofErr w:type="spellEnd"/>
      <w:r w:rsidRPr="00487945">
        <w:rPr>
          <w:rFonts w:ascii="Arial" w:eastAsia="Times New Roman" w:hAnsi="Arial" w:cs="Arial"/>
          <w:color w:val="222222"/>
          <w:sz w:val="24"/>
          <w:szCs w:val="24"/>
          <w:lang w:eastAsia="en-NG"/>
        </w:rPr>
        <w:t xml:space="preserve"> (2025) Risk Science and Shevchenko </w:t>
      </w:r>
      <w:proofErr w:type="gramStart"/>
      <w:r w:rsidRPr="00487945">
        <w:rPr>
          <w:rFonts w:ascii="Arial" w:eastAsia="Times New Roman" w:hAnsi="Arial" w:cs="Arial"/>
          <w:color w:val="222222"/>
          <w:sz w:val="24"/>
          <w:szCs w:val="24"/>
          <w:lang w:eastAsia="en-NG"/>
        </w:rPr>
        <w:t>et al.‘</w:t>
      </w:r>
      <w:proofErr w:type="gramEnd"/>
      <w:r w:rsidRPr="00487945">
        <w:rPr>
          <w:rFonts w:ascii="Arial" w:eastAsia="Times New Roman" w:hAnsi="Arial" w:cs="Arial"/>
          <w:color w:val="222222"/>
          <w:sz w:val="24"/>
          <w:szCs w:val="24"/>
          <w:lang w:eastAsia="en-NG"/>
        </w:rPr>
        <w:t>s (2018) comparative overview of threat modelling methods, provided the theoretical foundation for understanding how different risk frameworks are selected and applied in practice. This reading directly informed my contributions to the team’s Risk Identification Report, specifically the methodological rationale behind choosing STRIDE for current infrastructure assessment and NIST SP 800-30 for digitalization risk evaluation. This artefact evidences how structured independent reading translated into applied knowledge within the collaborative team project.​​​​​​​​​​​​​​​​</w:t>
      </w:r>
      <w:r w:rsidRPr="00487945">
        <w:rPr>
          <w:rFonts w:ascii="Arial" w:eastAsia="Times New Roman" w:hAnsi="Arial" w:cs="Arial"/>
          <w:color w:val="222222"/>
          <w:sz w:val="24"/>
          <w:szCs w:val="24"/>
          <w:lang w:eastAsia="en-NG"/>
        </w:rPr>
        <w:br/>
      </w:r>
    </w:p>
    <w:p w14:paraId="20F203D9" w14:textId="77777777" w:rsidR="003E1822" w:rsidRDefault="00487945" w:rsidP="000914A1">
      <w:pPr>
        <w:shd w:val="clear" w:color="auto" w:fill="FFFFFF"/>
        <w:jc w:val="both"/>
        <w:rPr>
          <w:rFonts w:ascii="Arial" w:eastAsia="Times New Roman" w:hAnsi="Arial" w:cs="Arial"/>
          <w:color w:val="222222"/>
          <w:sz w:val="24"/>
          <w:szCs w:val="24"/>
          <w:lang w:eastAsia="en-NG"/>
        </w:rPr>
      </w:pPr>
      <w:r>
        <w:rPr>
          <w:rFonts w:ascii="Arial" w:eastAsia="Times New Roman" w:hAnsi="Arial" w:cs="Arial"/>
          <w:color w:val="222222"/>
          <w:sz w:val="24"/>
          <w:szCs w:val="24"/>
          <w:lang w:eastAsia="en-NG"/>
        </w:rPr>
        <w:t>UNIT 4</w:t>
      </w:r>
    </w:p>
    <w:p w14:paraId="03A65B0C" w14:textId="7F8A50F4" w:rsidR="003E1822" w:rsidRDefault="003E1822" w:rsidP="000914A1">
      <w:pPr>
        <w:shd w:val="clear" w:color="auto" w:fill="FFFFFF"/>
        <w:jc w:val="both"/>
        <w:rPr>
          <w:rFonts w:ascii="Arial" w:eastAsia="Times New Roman" w:hAnsi="Arial" w:cs="Arial"/>
          <w:color w:val="222222"/>
          <w:sz w:val="24"/>
          <w:szCs w:val="24"/>
          <w:lang w:eastAsia="en-NG"/>
        </w:rPr>
      </w:pPr>
      <w:r w:rsidRPr="003E1822">
        <w:rPr>
          <w:rFonts w:ascii="Arial" w:eastAsia="Times New Roman" w:hAnsi="Arial" w:cs="Arial"/>
          <w:color w:val="222222"/>
          <w:sz w:val="24"/>
          <w:szCs w:val="24"/>
          <w:lang w:eastAsia="en-NG"/>
        </w:rPr>
        <w:t xml:space="preserve">Engagement with Unit 4 required reading, particularly Ross et al. (2016) and Meier et al. (2003), deepened my understanding of security engineering principles and web application threat countermeasures across multidisciplinary </w:t>
      </w:r>
      <w:proofErr w:type="spellStart"/>
      <w:r w:rsidRPr="003E1822">
        <w:rPr>
          <w:rFonts w:ascii="Arial" w:eastAsia="Times New Roman" w:hAnsi="Arial" w:cs="Arial"/>
          <w:color w:val="222222"/>
          <w:sz w:val="24"/>
          <w:szCs w:val="24"/>
          <w:lang w:eastAsia="en-NG"/>
        </w:rPr>
        <w:t>organisational</w:t>
      </w:r>
      <w:proofErr w:type="spellEnd"/>
      <w:r w:rsidRPr="003E1822">
        <w:rPr>
          <w:rFonts w:ascii="Arial" w:eastAsia="Times New Roman" w:hAnsi="Arial" w:cs="Arial"/>
          <w:color w:val="222222"/>
          <w:sz w:val="24"/>
          <w:szCs w:val="24"/>
          <w:lang w:eastAsia="en-NG"/>
        </w:rPr>
        <w:t xml:space="preserve"> environments. This reading directly strengthened my Digital Lead contributions by equipping me with the technical grounding needed to assess layered security vulnerabilities in web-facing systems such as the e-commerce portal proposed for Pampered Pets. This artefact evidences the progressive development of my technical security knowledge and its direct </w:t>
      </w:r>
      <w:r w:rsidRPr="003E1822">
        <w:rPr>
          <w:rFonts w:ascii="Arial" w:eastAsia="Times New Roman" w:hAnsi="Arial" w:cs="Arial"/>
          <w:color w:val="222222"/>
          <w:sz w:val="24"/>
          <w:szCs w:val="24"/>
          <w:lang w:eastAsia="en-NG"/>
        </w:rPr>
        <w:lastRenderedPageBreak/>
        <w:t>application to the team’s risk identification outputs.</w:t>
      </w:r>
      <w:r w:rsidRPr="003E1822">
        <w:rPr>
          <w:rFonts w:ascii="Arial" w:eastAsia="Times New Roman" w:hAnsi="Arial" w:cs="Arial"/>
          <w:color w:val="222222"/>
          <w:sz w:val="24"/>
          <w:szCs w:val="24"/>
          <w:lang w:eastAsia="en-NG"/>
        </w:rPr>
        <w:br/>
      </w:r>
    </w:p>
    <w:p w14:paraId="07707318" w14:textId="20678EFA" w:rsidR="00487945" w:rsidRDefault="00487945" w:rsidP="000914A1">
      <w:pPr>
        <w:shd w:val="clear" w:color="auto" w:fill="FFFFFF"/>
        <w:jc w:val="both"/>
        <w:rPr>
          <w:rFonts w:ascii="Arial" w:eastAsia="Times New Roman" w:hAnsi="Arial" w:cs="Arial"/>
          <w:color w:val="222222"/>
          <w:sz w:val="24"/>
          <w:szCs w:val="24"/>
          <w:lang w:eastAsia="en-NG"/>
        </w:rPr>
      </w:pPr>
      <w:r>
        <w:rPr>
          <w:rFonts w:ascii="Arial" w:eastAsia="Times New Roman" w:hAnsi="Arial" w:cs="Arial"/>
          <w:color w:val="222222"/>
          <w:sz w:val="24"/>
          <w:szCs w:val="24"/>
          <w:lang w:eastAsia="en-NG"/>
        </w:rPr>
        <w:t xml:space="preserve"> </w:t>
      </w:r>
      <w:r w:rsidR="003E1822">
        <w:rPr>
          <w:rFonts w:ascii="Arial" w:eastAsia="Times New Roman" w:hAnsi="Arial" w:cs="Arial"/>
          <w:color w:val="222222"/>
          <w:sz w:val="24"/>
          <w:szCs w:val="24"/>
          <w:lang w:eastAsia="en-NG"/>
        </w:rPr>
        <w:t>UNIT</w:t>
      </w:r>
      <w:r>
        <w:rPr>
          <w:rFonts w:ascii="Arial" w:eastAsia="Times New Roman" w:hAnsi="Arial" w:cs="Arial"/>
          <w:color w:val="222222"/>
          <w:sz w:val="24"/>
          <w:szCs w:val="24"/>
          <w:lang w:eastAsia="en-NG"/>
        </w:rPr>
        <w:t xml:space="preserve"> 5 </w:t>
      </w:r>
    </w:p>
    <w:p w14:paraId="473EA36F" w14:textId="1E3CC0E8" w:rsidR="003E1822" w:rsidRDefault="003E1822" w:rsidP="000914A1">
      <w:pPr>
        <w:shd w:val="clear" w:color="auto" w:fill="FFFFFF"/>
        <w:jc w:val="both"/>
        <w:rPr>
          <w:rFonts w:ascii="Arial" w:eastAsia="Times New Roman" w:hAnsi="Arial" w:cs="Arial"/>
          <w:color w:val="222222"/>
          <w:sz w:val="24"/>
          <w:szCs w:val="24"/>
          <w:lang w:eastAsia="en-NG"/>
        </w:rPr>
      </w:pPr>
      <w:r w:rsidRPr="003E1822">
        <w:rPr>
          <w:rFonts w:ascii="Arial" w:eastAsia="Times New Roman" w:hAnsi="Arial" w:cs="Arial"/>
          <w:color w:val="222222"/>
          <w:sz w:val="24"/>
          <w:szCs w:val="24"/>
          <w:lang w:eastAsia="en-NG"/>
        </w:rPr>
        <w:t xml:space="preserve">Engagement with Unit 5 required reading, particularly </w:t>
      </w:r>
      <w:proofErr w:type="spellStart"/>
      <w:r w:rsidRPr="003E1822">
        <w:rPr>
          <w:rFonts w:ascii="Arial" w:eastAsia="Times New Roman" w:hAnsi="Arial" w:cs="Arial"/>
          <w:color w:val="222222"/>
          <w:sz w:val="24"/>
          <w:szCs w:val="24"/>
          <w:lang w:eastAsia="en-NG"/>
        </w:rPr>
        <w:t>Barafort</w:t>
      </w:r>
      <w:proofErr w:type="spellEnd"/>
      <w:r w:rsidRPr="003E1822">
        <w:rPr>
          <w:rFonts w:ascii="Arial" w:eastAsia="Times New Roman" w:hAnsi="Arial" w:cs="Arial"/>
          <w:color w:val="222222"/>
          <w:sz w:val="24"/>
          <w:szCs w:val="24"/>
          <w:lang w:eastAsia="en-NG"/>
        </w:rPr>
        <w:t xml:space="preserve">, Mesquida and Mas’ (2018) ISO 31000-based risk management model and Aven and </w:t>
      </w:r>
      <w:proofErr w:type="spellStart"/>
      <w:r w:rsidRPr="003E1822">
        <w:rPr>
          <w:rFonts w:ascii="Arial" w:eastAsia="Times New Roman" w:hAnsi="Arial" w:cs="Arial"/>
          <w:color w:val="222222"/>
          <w:sz w:val="24"/>
          <w:szCs w:val="24"/>
          <w:lang w:eastAsia="en-NG"/>
        </w:rPr>
        <w:t>Thekdi</w:t>
      </w:r>
      <w:proofErr w:type="spellEnd"/>
      <w:r w:rsidRPr="003E1822">
        <w:rPr>
          <w:rFonts w:ascii="Arial" w:eastAsia="Times New Roman" w:hAnsi="Arial" w:cs="Arial"/>
          <w:color w:val="222222"/>
          <w:sz w:val="24"/>
          <w:szCs w:val="24"/>
          <w:lang w:eastAsia="en-NG"/>
        </w:rPr>
        <w:t xml:space="preserve"> (2025), introduced me to enterprise-level risk governance frameworks and their application within IT </w:t>
      </w:r>
      <w:proofErr w:type="spellStart"/>
      <w:r w:rsidRPr="003E1822">
        <w:rPr>
          <w:rFonts w:ascii="Arial" w:eastAsia="Times New Roman" w:hAnsi="Arial" w:cs="Arial"/>
          <w:color w:val="222222"/>
          <w:sz w:val="24"/>
          <w:szCs w:val="24"/>
          <w:lang w:eastAsia="en-NG"/>
        </w:rPr>
        <w:t>organisations</w:t>
      </w:r>
      <w:proofErr w:type="spellEnd"/>
      <w:r w:rsidRPr="003E1822">
        <w:rPr>
          <w:rFonts w:ascii="Arial" w:eastAsia="Times New Roman" w:hAnsi="Arial" w:cs="Arial"/>
          <w:color w:val="222222"/>
          <w:sz w:val="24"/>
          <w:szCs w:val="24"/>
          <w:lang w:eastAsia="en-NG"/>
        </w:rPr>
        <w:t xml:space="preserve">. This reading shaped my understanding that </w:t>
      </w:r>
      <w:proofErr w:type="spellStart"/>
      <w:r w:rsidRPr="003E1822">
        <w:rPr>
          <w:rFonts w:ascii="Arial" w:eastAsia="Times New Roman" w:hAnsi="Arial" w:cs="Arial"/>
          <w:color w:val="222222"/>
          <w:sz w:val="24"/>
          <w:szCs w:val="24"/>
          <w:lang w:eastAsia="en-NG"/>
        </w:rPr>
        <w:t>organisational</w:t>
      </w:r>
      <w:proofErr w:type="spellEnd"/>
      <w:r w:rsidRPr="003E1822">
        <w:rPr>
          <w:rFonts w:ascii="Arial" w:eastAsia="Times New Roman" w:hAnsi="Arial" w:cs="Arial"/>
          <w:color w:val="222222"/>
          <w:sz w:val="24"/>
          <w:szCs w:val="24"/>
          <w:lang w:eastAsia="en-NG"/>
        </w:rPr>
        <w:t xml:space="preserve"> risk management extends beyond technical controls to encompass process, governance, and strategic alignment — directly informing the GDPR compliance and data governance mitigations I proposed in the team report. This artefact demonstrates my engagement with internationally </w:t>
      </w:r>
      <w:proofErr w:type="spellStart"/>
      <w:r w:rsidRPr="003E1822">
        <w:rPr>
          <w:rFonts w:ascii="Arial" w:eastAsia="Times New Roman" w:hAnsi="Arial" w:cs="Arial"/>
          <w:color w:val="222222"/>
          <w:sz w:val="24"/>
          <w:szCs w:val="24"/>
          <w:lang w:eastAsia="en-NG"/>
        </w:rPr>
        <w:t>recognised</w:t>
      </w:r>
      <w:proofErr w:type="spellEnd"/>
      <w:r w:rsidRPr="003E1822">
        <w:rPr>
          <w:rFonts w:ascii="Arial" w:eastAsia="Times New Roman" w:hAnsi="Arial" w:cs="Arial"/>
          <w:color w:val="222222"/>
          <w:sz w:val="24"/>
          <w:szCs w:val="24"/>
          <w:lang w:eastAsia="en-NG"/>
        </w:rPr>
        <w:t xml:space="preserve"> risk standards and their practical relevance to the Pampered Pets digital transformation scenario.</w:t>
      </w:r>
    </w:p>
    <w:p w14:paraId="15179FAE" w14:textId="77777777" w:rsidR="003E1822" w:rsidRDefault="003E1822" w:rsidP="000914A1">
      <w:pPr>
        <w:shd w:val="clear" w:color="auto" w:fill="FFFFFF"/>
        <w:jc w:val="both"/>
        <w:rPr>
          <w:rFonts w:ascii="Arial" w:eastAsia="Times New Roman" w:hAnsi="Arial" w:cs="Arial"/>
          <w:color w:val="222222"/>
          <w:sz w:val="24"/>
          <w:szCs w:val="24"/>
          <w:lang w:eastAsia="en-NG"/>
        </w:rPr>
      </w:pPr>
    </w:p>
    <w:p w14:paraId="79FDDFB7" w14:textId="47206611" w:rsidR="003E1822" w:rsidRDefault="003E1822" w:rsidP="000914A1">
      <w:pPr>
        <w:shd w:val="clear" w:color="auto" w:fill="FFFFFF"/>
        <w:jc w:val="both"/>
        <w:rPr>
          <w:rFonts w:ascii="Arial" w:eastAsia="Times New Roman" w:hAnsi="Arial" w:cs="Arial"/>
          <w:color w:val="222222"/>
          <w:sz w:val="24"/>
          <w:szCs w:val="24"/>
          <w:lang w:eastAsia="en-NG"/>
        </w:rPr>
      </w:pPr>
      <w:r>
        <w:rPr>
          <w:rFonts w:ascii="Arial" w:eastAsia="Times New Roman" w:hAnsi="Arial" w:cs="Arial"/>
          <w:color w:val="222222"/>
          <w:sz w:val="24"/>
          <w:szCs w:val="24"/>
          <w:lang w:eastAsia="en-NG"/>
        </w:rPr>
        <w:t>UNIT 6</w:t>
      </w:r>
    </w:p>
    <w:p w14:paraId="5ECE85B9" w14:textId="3AAB1025" w:rsidR="003E1822" w:rsidRDefault="003E1822" w:rsidP="000914A1">
      <w:pPr>
        <w:shd w:val="clear" w:color="auto" w:fill="FFFFFF"/>
        <w:jc w:val="both"/>
        <w:rPr>
          <w:rFonts w:ascii="Arial" w:eastAsia="Times New Roman" w:hAnsi="Arial" w:cs="Arial"/>
          <w:color w:val="222222"/>
          <w:sz w:val="24"/>
          <w:szCs w:val="24"/>
          <w:lang w:eastAsia="en-NG"/>
        </w:rPr>
      </w:pPr>
      <w:r w:rsidRPr="003E1822">
        <w:rPr>
          <w:rFonts w:ascii="Arial" w:eastAsia="Times New Roman" w:hAnsi="Arial" w:cs="Arial"/>
          <w:color w:val="222222"/>
          <w:sz w:val="24"/>
          <w:szCs w:val="24"/>
          <w:lang w:eastAsia="en-NG"/>
        </w:rPr>
        <w:t>As Digital Lead, I authored the proposed digitalization strategy for Pampered Pets, identifying six digital transformation initiatives including e-commerce, cloud ERP, CRM, and international supplier integration. I also developed the corresponding NIST SP 800-30 risk assessment and mitigation recommendations for each initiative. This artefact demonstrates my ability to apply structured risk frameworks to real-world business transformation scenarios.</w:t>
      </w:r>
    </w:p>
    <w:p w14:paraId="205FA152" w14:textId="77777777" w:rsidR="001741C6" w:rsidRDefault="001741C6" w:rsidP="000914A1">
      <w:pPr>
        <w:shd w:val="clear" w:color="auto" w:fill="FFFFFF"/>
        <w:jc w:val="both"/>
        <w:rPr>
          <w:rFonts w:ascii="Arial" w:eastAsia="Times New Roman" w:hAnsi="Arial" w:cs="Arial"/>
          <w:color w:val="222222"/>
          <w:sz w:val="24"/>
          <w:szCs w:val="24"/>
          <w:lang w:eastAsia="en-NG"/>
        </w:rPr>
      </w:pPr>
    </w:p>
    <w:p w14:paraId="4F74344D" w14:textId="0F0EAEE4" w:rsidR="001741C6" w:rsidRDefault="001741C6" w:rsidP="000914A1">
      <w:pPr>
        <w:shd w:val="clear" w:color="auto" w:fill="FFFFFF"/>
        <w:jc w:val="both"/>
        <w:rPr>
          <w:rFonts w:ascii="Arial" w:eastAsia="Times New Roman" w:hAnsi="Arial" w:cs="Arial"/>
          <w:color w:val="222222"/>
          <w:sz w:val="24"/>
          <w:szCs w:val="24"/>
          <w:lang w:eastAsia="en-NG"/>
        </w:rPr>
      </w:pPr>
      <w:r>
        <w:rPr>
          <w:rFonts w:ascii="Arial" w:eastAsia="Times New Roman" w:hAnsi="Arial" w:cs="Arial"/>
          <w:color w:val="222222"/>
          <w:sz w:val="24"/>
          <w:szCs w:val="24"/>
          <w:lang w:eastAsia="en-NG"/>
        </w:rPr>
        <w:t>UNIT 7</w:t>
      </w:r>
    </w:p>
    <w:p w14:paraId="6B660220" w14:textId="46419AF1" w:rsidR="001741C6" w:rsidRDefault="001741C6" w:rsidP="000914A1">
      <w:pPr>
        <w:shd w:val="clear" w:color="auto" w:fill="FFFFFF"/>
        <w:jc w:val="both"/>
        <w:rPr>
          <w:rFonts w:ascii="Arial" w:eastAsia="Times New Roman" w:hAnsi="Arial" w:cs="Arial"/>
          <w:color w:val="222222"/>
          <w:sz w:val="24"/>
          <w:szCs w:val="24"/>
          <w:lang w:eastAsia="en-NG"/>
        </w:rPr>
      </w:pPr>
      <w:r w:rsidRPr="001741C6">
        <w:rPr>
          <w:rFonts w:ascii="Arial" w:eastAsia="Times New Roman" w:hAnsi="Arial" w:cs="Arial"/>
          <w:color w:val="222222"/>
          <w:sz w:val="24"/>
          <w:szCs w:val="24"/>
          <w:lang w:eastAsia="en-NG"/>
        </w:rPr>
        <w:t xml:space="preserve">Engagement with Unit 7 required reading, particularly Metropolis (1987) on the Monte Carlo Method and </w:t>
      </w:r>
      <w:proofErr w:type="spellStart"/>
      <w:r w:rsidRPr="001741C6">
        <w:rPr>
          <w:rFonts w:ascii="Arial" w:eastAsia="Times New Roman" w:hAnsi="Arial" w:cs="Arial"/>
          <w:color w:val="222222"/>
          <w:sz w:val="24"/>
          <w:szCs w:val="24"/>
          <w:lang w:eastAsia="en-NG"/>
        </w:rPr>
        <w:t>Asadabadi</w:t>
      </w:r>
      <w:proofErr w:type="spellEnd"/>
      <w:r w:rsidRPr="001741C6">
        <w:rPr>
          <w:rFonts w:ascii="Arial" w:eastAsia="Times New Roman" w:hAnsi="Arial" w:cs="Arial"/>
          <w:color w:val="222222"/>
          <w:sz w:val="24"/>
          <w:szCs w:val="24"/>
          <w:lang w:eastAsia="en-NG"/>
        </w:rPr>
        <w:t>, Chang and Saberi’s (2019) critical review of MCDM methods, introduced me to quantitative probabilistic approaches to enterprise risk assessment and their comparative strengths over purely qualitative frameworks. This reading provided the conceptual foundation for understanding how simulation-based methods quantify uncertainty in risk outcomes — knowledge that directly underpinned the quantitative risk analysis components of the team’s Executive Summary deliverable.</w:t>
      </w:r>
      <w:r w:rsidRPr="001741C6">
        <w:rPr>
          <w:rFonts w:ascii="Arial" w:eastAsia="Times New Roman" w:hAnsi="Arial" w:cs="Arial"/>
          <w:color w:val="222222"/>
          <w:sz w:val="24"/>
          <w:szCs w:val="24"/>
          <w:lang w:eastAsia="en-NG"/>
        </w:rPr>
        <w:br/>
      </w:r>
    </w:p>
    <w:p w14:paraId="56DDC1EA" w14:textId="1040731E" w:rsidR="001741C6" w:rsidRDefault="001741C6" w:rsidP="000914A1">
      <w:pPr>
        <w:shd w:val="clear" w:color="auto" w:fill="FFFFFF"/>
        <w:jc w:val="both"/>
        <w:rPr>
          <w:rFonts w:ascii="Arial" w:eastAsia="Times New Roman" w:hAnsi="Arial" w:cs="Arial"/>
          <w:color w:val="222222"/>
          <w:sz w:val="24"/>
          <w:szCs w:val="24"/>
          <w:lang w:eastAsia="en-NG"/>
        </w:rPr>
      </w:pPr>
      <w:r>
        <w:rPr>
          <w:rFonts w:ascii="Arial" w:eastAsia="Times New Roman" w:hAnsi="Arial" w:cs="Arial"/>
          <w:color w:val="222222"/>
          <w:sz w:val="24"/>
          <w:szCs w:val="24"/>
          <w:lang w:eastAsia="en-NG"/>
        </w:rPr>
        <w:t>Unit 8</w:t>
      </w:r>
    </w:p>
    <w:p w14:paraId="3F968BC0" w14:textId="25FCB15A" w:rsidR="001741C6" w:rsidRDefault="001741C6" w:rsidP="000914A1">
      <w:pPr>
        <w:shd w:val="clear" w:color="auto" w:fill="FFFFFF"/>
        <w:jc w:val="both"/>
        <w:rPr>
          <w:rFonts w:ascii="Arial" w:eastAsia="Times New Roman" w:hAnsi="Arial" w:cs="Arial"/>
          <w:color w:val="222222"/>
          <w:sz w:val="24"/>
          <w:szCs w:val="24"/>
          <w:lang w:eastAsia="en-NG"/>
        </w:rPr>
      </w:pPr>
      <w:r>
        <w:rPr>
          <w:rFonts w:ascii="Arial" w:eastAsia="Times New Roman" w:hAnsi="Arial" w:cs="Arial"/>
          <w:color w:val="222222"/>
          <w:sz w:val="24"/>
          <w:szCs w:val="24"/>
          <w:lang w:eastAsia="en-NG"/>
        </w:rPr>
        <w:t xml:space="preserve"> </w:t>
      </w:r>
      <w:r w:rsidRPr="001741C6">
        <w:rPr>
          <w:rFonts w:ascii="Arial" w:eastAsia="Times New Roman" w:hAnsi="Arial" w:cs="Arial"/>
          <w:color w:val="222222"/>
          <w:sz w:val="24"/>
          <w:szCs w:val="24"/>
          <w:lang w:eastAsia="en-NG"/>
        </w:rPr>
        <w:t xml:space="preserve">Engagement with Unit 8 required reading, particularly Eckstein and Riedmueller’s (2002) practical application of Monte Carlo simulation and Aijaz and Nazir’s (2024) social engineering threat modelling using attack tree and Markov models, deepened my applied understanding of probabilistic risk modelling techniques and their implementation in security contexts. This reading reinforced my ability to engage with simulation-based risk quantification methodologies and appreciate their practical utility in assessing complex, </w:t>
      </w:r>
      <w:r w:rsidRPr="001741C6">
        <w:rPr>
          <w:rFonts w:ascii="Arial" w:eastAsia="Times New Roman" w:hAnsi="Arial" w:cs="Arial"/>
          <w:color w:val="222222"/>
          <w:sz w:val="24"/>
          <w:szCs w:val="24"/>
          <w:lang w:eastAsia="en-NG"/>
        </w:rPr>
        <w:lastRenderedPageBreak/>
        <w:t xml:space="preserve">multi-variable cybersecurity threats within </w:t>
      </w:r>
      <w:proofErr w:type="spellStart"/>
      <w:r w:rsidRPr="001741C6">
        <w:rPr>
          <w:rFonts w:ascii="Arial" w:eastAsia="Times New Roman" w:hAnsi="Arial" w:cs="Arial"/>
          <w:color w:val="222222"/>
          <w:sz w:val="24"/>
          <w:szCs w:val="24"/>
          <w:lang w:eastAsia="en-NG"/>
        </w:rPr>
        <w:t>organisational</w:t>
      </w:r>
      <w:proofErr w:type="spellEnd"/>
      <w:r w:rsidRPr="001741C6">
        <w:rPr>
          <w:rFonts w:ascii="Arial" w:eastAsia="Times New Roman" w:hAnsi="Arial" w:cs="Arial"/>
          <w:color w:val="222222"/>
          <w:sz w:val="24"/>
          <w:szCs w:val="24"/>
          <w:lang w:eastAsia="en-NG"/>
        </w:rPr>
        <w:t xml:space="preserve"> environments.</w:t>
      </w:r>
      <w:r w:rsidRPr="001741C6">
        <w:rPr>
          <w:rFonts w:ascii="Arial" w:eastAsia="Times New Roman" w:hAnsi="Arial" w:cs="Arial"/>
          <w:color w:val="222222"/>
          <w:sz w:val="24"/>
          <w:szCs w:val="24"/>
          <w:lang w:eastAsia="en-NG"/>
        </w:rPr>
        <w:br/>
      </w:r>
    </w:p>
    <w:p w14:paraId="3960CFEF" w14:textId="6CBD9EE4" w:rsidR="001741C6" w:rsidRDefault="001741C6" w:rsidP="000914A1">
      <w:pPr>
        <w:shd w:val="clear" w:color="auto" w:fill="FFFFFF"/>
        <w:jc w:val="both"/>
        <w:rPr>
          <w:rFonts w:ascii="Arial" w:eastAsia="Times New Roman" w:hAnsi="Arial" w:cs="Arial"/>
          <w:color w:val="222222"/>
          <w:sz w:val="24"/>
          <w:szCs w:val="24"/>
          <w:lang w:eastAsia="en-NG"/>
        </w:rPr>
      </w:pPr>
      <w:r>
        <w:rPr>
          <w:rFonts w:ascii="Arial" w:eastAsia="Times New Roman" w:hAnsi="Arial" w:cs="Arial"/>
          <w:color w:val="222222"/>
          <w:sz w:val="24"/>
          <w:szCs w:val="24"/>
          <w:lang w:eastAsia="en-NG"/>
        </w:rPr>
        <w:t xml:space="preserve">UNIT 9 </w:t>
      </w:r>
    </w:p>
    <w:p w14:paraId="17428DC2" w14:textId="09C2F730" w:rsidR="001741C6" w:rsidRDefault="001741C6" w:rsidP="000914A1">
      <w:pPr>
        <w:shd w:val="clear" w:color="auto" w:fill="FFFFFF"/>
        <w:jc w:val="both"/>
        <w:rPr>
          <w:rFonts w:ascii="Arial" w:eastAsia="Times New Roman" w:hAnsi="Arial" w:cs="Arial"/>
          <w:color w:val="222222"/>
          <w:sz w:val="24"/>
          <w:szCs w:val="24"/>
          <w:lang w:eastAsia="en-NG"/>
        </w:rPr>
      </w:pPr>
      <w:r w:rsidRPr="001741C6">
        <w:rPr>
          <w:rFonts w:ascii="Arial" w:eastAsia="Times New Roman" w:hAnsi="Arial" w:cs="Arial"/>
          <w:color w:val="222222"/>
          <w:sz w:val="24"/>
          <w:szCs w:val="24"/>
          <w:lang w:eastAsia="en-NG"/>
        </w:rPr>
        <w:t xml:space="preserve">Engagement with Unit 9 required reading, specifically Andrade </w:t>
      </w:r>
      <w:proofErr w:type="gramStart"/>
      <w:r w:rsidRPr="001741C6">
        <w:rPr>
          <w:rFonts w:ascii="Arial" w:eastAsia="Times New Roman" w:hAnsi="Arial" w:cs="Arial"/>
          <w:color w:val="222222"/>
          <w:sz w:val="24"/>
          <w:szCs w:val="24"/>
          <w:lang w:eastAsia="en-NG"/>
        </w:rPr>
        <w:t>et al.‘</w:t>
      </w:r>
      <w:proofErr w:type="gramEnd"/>
      <w:r w:rsidRPr="001741C6">
        <w:rPr>
          <w:rFonts w:ascii="Arial" w:eastAsia="Times New Roman" w:hAnsi="Arial" w:cs="Arial"/>
          <w:color w:val="222222"/>
          <w:sz w:val="24"/>
          <w:szCs w:val="24"/>
          <w:lang w:eastAsia="en-NG"/>
        </w:rPr>
        <w:t xml:space="preserve">s (2017) availability modelling and analysis of disaster-recovery-as-a-service solutions, introduced me to the technical and operational dimensions of cloud-based disaster recovery architectures and their role in </w:t>
      </w:r>
      <w:proofErr w:type="spellStart"/>
      <w:r w:rsidRPr="001741C6">
        <w:rPr>
          <w:rFonts w:ascii="Arial" w:eastAsia="Times New Roman" w:hAnsi="Arial" w:cs="Arial"/>
          <w:color w:val="222222"/>
          <w:sz w:val="24"/>
          <w:szCs w:val="24"/>
          <w:lang w:eastAsia="en-NG"/>
        </w:rPr>
        <w:t>organisational</w:t>
      </w:r>
      <w:proofErr w:type="spellEnd"/>
      <w:r w:rsidRPr="001741C6">
        <w:rPr>
          <w:rFonts w:ascii="Arial" w:eastAsia="Times New Roman" w:hAnsi="Arial" w:cs="Arial"/>
          <w:color w:val="222222"/>
          <w:sz w:val="24"/>
          <w:szCs w:val="24"/>
          <w:lang w:eastAsia="en-NG"/>
        </w:rPr>
        <w:t xml:space="preserve"> resilience planning. This reading directly informed my understanding of the AWS multi-region active-active disaster recovery strategy proposed in the team’s Executive Summary, grounding that recommendation in established academic literature on service availability and recovery modelling.</w:t>
      </w:r>
      <w:r w:rsidRPr="001741C6">
        <w:rPr>
          <w:rFonts w:ascii="Arial" w:eastAsia="Times New Roman" w:hAnsi="Arial" w:cs="Arial"/>
          <w:color w:val="222222"/>
          <w:sz w:val="24"/>
          <w:szCs w:val="24"/>
          <w:lang w:eastAsia="en-NG"/>
        </w:rPr>
        <w:br/>
        <w:t>Sent from my iPad</w:t>
      </w:r>
    </w:p>
    <w:p w14:paraId="389BB9CD" w14:textId="77777777" w:rsidR="001741C6" w:rsidRDefault="001741C6" w:rsidP="000914A1">
      <w:pPr>
        <w:shd w:val="clear" w:color="auto" w:fill="FFFFFF"/>
        <w:jc w:val="both"/>
        <w:rPr>
          <w:rFonts w:ascii="Arial" w:eastAsia="Times New Roman" w:hAnsi="Arial" w:cs="Arial"/>
          <w:color w:val="222222"/>
          <w:sz w:val="24"/>
          <w:szCs w:val="24"/>
          <w:lang w:eastAsia="en-NG"/>
        </w:rPr>
      </w:pPr>
    </w:p>
    <w:p w14:paraId="5EF9E1B2" w14:textId="3A753E35" w:rsidR="001741C6" w:rsidRDefault="001741C6" w:rsidP="000914A1">
      <w:pPr>
        <w:shd w:val="clear" w:color="auto" w:fill="FFFFFF"/>
        <w:jc w:val="both"/>
        <w:rPr>
          <w:rFonts w:ascii="Arial" w:eastAsia="Times New Roman" w:hAnsi="Arial" w:cs="Arial"/>
          <w:color w:val="222222"/>
          <w:sz w:val="24"/>
          <w:szCs w:val="24"/>
          <w:lang w:eastAsia="en-NG"/>
        </w:rPr>
      </w:pPr>
      <w:r>
        <w:rPr>
          <w:rFonts w:ascii="Arial" w:eastAsia="Times New Roman" w:hAnsi="Arial" w:cs="Arial"/>
          <w:color w:val="222222"/>
          <w:sz w:val="24"/>
          <w:szCs w:val="24"/>
          <w:lang w:eastAsia="en-NG"/>
        </w:rPr>
        <w:t>UNIT 10</w:t>
      </w:r>
    </w:p>
    <w:p w14:paraId="3CB8618A" w14:textId="11379F08" w:rsidR="001741C6" w:rsidRDefault="001741C6" w:rsidP="000914A1">
      <w:pPr>
        <w:shd w:val="clear" w:color="auto" w:fill="FFFFFF"/>
        <w:jc w:val="both"/>
        <w:rPr>
          <w:rFonts w:ascii="Arial" w:eastAsia="Times New Roman" w:hAnsi="Arial" w:cs="Arial"/>
          <w:color w:val="222222"/>
          <w:sz w:val="24"/>
          <w:szCs w:val="24"/>
          <w:lang w:eastAsia="en-NG"/>
        </w:rPr>
      </w:pPr>
      <w:r w:rsidRPr="001741C6">
        <w:rPr>
          <w:rFonts w:ascii="Arial" w:eastAsia="Times New Roman" w:hAnsi="Arial" w:cs="Arial"/>
          <w:color w:val="222222"/>
          <w:sz w:val="24"/>
          <w:szCs w:val="24"/>
          <w:lang w:eastAsia="en-NG"/>
        </w:rPr>
        <w:t xml:space="preserve">Engagement with Unit 10 required reading, particularly Alhazmi and Malaiya’s (2013) framework for evaluating cloud-based disaster recovery plans and Kumar’s (2024) analysis of cloud vendor lock-in risks, extended my understanding of the strategic and operational risks associated with cloud dependency in </w:t>
      </w:r>
      <w:r w:rsidR="000914A1" w:rsidRPr="001741C6">
        <w:rPr>
          <w:rFonts w:ascii="Arial" w:eastAsia="Times New Roman" w:hAnsi="Arial" w:cs="Arial"/>
          <w:color w:val="222222"/>
          <w:sz w:val="24"/>
          <w:szCs w:val="24"/>
          <w:lang w:eastAsia="en-NG"/>
        </w:rPr>
        <w:t>organizational</w:t>
      </w:r>
      <w:r w:rsidRPr="001741C6">
        <w:rPr>
          <w:rFonts w:ascii="Arial" w:eastAsia="Times New Roman" w:hAnsi="Arial" w:cs="Arial"/>
          <w:color w:val="222222"/>
          <w:sz w:val="24"/>
          <w:szCs w:val="24"/>
          <w:lang w:eastAsia="en-NG"/>
        </w:rPr>
        <w:t xml:space="preserve"> security architecture. This reading sharpened my critical awareness of how cloud adoption decisions introduce long-term vendor dependency risks alongside their resilience benefits a tension directly relevant to the cloud ERP and CRM recommendations I contributed to the Pampered Pets digitalization risk assessment.</w:t>
      </w:r>
    </w:p>
    <w:p w14:paraId="5ACC7990" w14:textId="77777777" w:rsidR="001741C6" w:rsidRDefault="001741C6" w:rsidP="000914A1">
      <w:pPr>
        <w:shd w:val="clear" w:color="auto" w:fill="FFFFFF"/>
        <w:jc w:val="both"/>
        <w:rPr>
          <w:rFonts w:ascii="Arial" w:eastAsia="Times New Roman" w:hAnsi="Arial" w:cs="Arial"/>
          <w:color w:val="222222"/>
          <w:sz w:val="24"/>
          <w:szCs w:val="24"/>
          <w:lang w:eastAsia="en-NG"/>
        </w:rPr>
      </w:pPr>
    </w:p>
    <w:p w14:paraId="1A63D9DC" w14:textId="64798108" w:rsidR="001741C6" w:rsidRDefault="001741C6" w:rsidP="000914A1">
      <w:pPr>
        <w:shd w:val="clear" w:color="auto" w:fill="FFFFFF"/>
        <w:jc w:val="both"/>
        <w:rPr>
          <w:rFonts w:ascii="Arial" w:eastAsia="Times New Roman" w:hAnsi="Arial" w:cs="Arial"/>
          <w:color w:val="222222"/>
          <w:sz w:val="24"/>
          <w:szCs w:val="24"/>
          <w:lang w:eastAsia="en-NG"/>
        </w:rPr>
      </w:pPr>
      <w:r>
        <w:rPr>
          <w:rFonts w:ascii="Arial" w:eastAsia="Times New Roman" w:hAnsi="Arial" w:cs="Arial"/>
          <w:color w:val="222222"/>
          <w:sz w:val="24"/>
          <w:szCs w:val="24"/>
          <w:lang w:eastAsia="en-NG"/>
        </w:rPr>
        <w:t>UNIT 11</w:t>
      </w:r>
    </w:p>
    <w:p w14:paraId="659E4068" w14:textId="35D3A0D8" w:rsidR="00326BED" w:rsidRDefault="00326BED" w:rsidP="000914A1">
      <w:pPr>
        <w:shd w:val="clear" w:color="auto" w:fill="FFFFFF"/>
        <w:jc w:val="both"/>
        <w:rPr>
          <w:rFonts w:ascii="Arial" w:eastAsia="Times New Roman" w:hAnsi="Arial" w:cs="Arial"/>
          <w:color w:val="222222"/>
          <w:sz w:val="24"/>
          <w:szCs w:val="24"/>
          <w:lang w:eastAsia="en-NG"/>
        </w:rPr>
      </w:pPr>
      <w:r w:rsidRPr="00326BED">
        <w:rPr>
          <w:rFonts w:ascii="Arial" w:eastAsia="Times New Roman" w:hAnsi="Arial" w:cs="Arial"/>
          <w:color w:val="222222"/>
          <w:sz w:val="24"/>
          <w:szCs w:val="24"/>
          <w:lang w:eastAsia="en-NG"/>
        </w:rPr>
        <w:t xml:space="preserve">Engagement with Unit 11 required reading, particularly Pineiro-Chousa et al. (2017), </w:t>
      </w:r>
      <w:proofErr w:type="spellStart"/>
      <w:r w:rsidRPr="00326BED">
        <w:rPr>
          <w:rFonts w:ascii="Arial" w:eastAsia="Times New Roman" w:hAnsi="Arial" w:cs="Arial"/>
          <w:color w:val="222222"/>
          <w:sz w:val="24"/>
          <w:szCs w:val="24"/>
          <w:lang w:eastAsia="en-NG"/>
        </w:rPr>
        <w:t>Fahimnia</w:t>
      </w:r>
      <w:proofErr w:type="spellEnd"/>
      <w:r w:rsidRPr="00326BED">
        <w:rPr>
          <w:rFonts w:ascii="Arial" w:eastAsia="Times New Roman" w:hAnsi="Arial" w:cs="Arial"/>
          <w:color w:val="222222"/>
          <w:sz w:val="24"/>
          <w:szCs w:val="24"/>
          <w:lang w:eastAsia="en-NG"/>
        </w:rPr>
        <w:t xml:space="preserve"> et al. (2019), and Marks et al. (2019), broadened my understanding of how </w:t>
      </w:r>
      <w:r w:rsidR="000914A1" w:rsidRPr="00326BED">
        <w:rPr>
          <w:rFonts w:ascii="Arial" w:eastAsia="Times New Roman" w:hAnsi="Arial" w:cs="Arial"/>
          <w:color w:val="222222"/>
          <w:sz w:val="24"/>
          <w:szCs w:val="24"/>
          <w:lang w:eastAsia="en-NG"/>
        </w:rPr>
        <w:t>organizational</w:t>
      </w:r>
      <w:r w:rsidRPr="00326BED">
        <w:rPr>
          <w:rFonts w:ascii="Arial" w:eastAsia="Times New Roman" w:hAnsi="Arial" w:cs="Arial"/>
          <w:color w:val="222222"/>
          <w:sz w:val="24"/>
          <w:szCs w:val="24"/>
          <w:lang w:eastAsia="en-NG"/>
        </w:rPr>
        <w:t xml:space="preserve"> risk spans reputational, supply chain, and strategic dimensions beyond purely technical cybersecurity concerns. This reading directly informed my holistic evaluation of the final project, reinforcing that the international supplier integration and digital marketing recommendations I contributed to the Pampered Pets digitalization strategy carried reputational and supply chain risks requiring assessment alongside technical cybersecurity considerations. This artefact evidences my growing ability to apply a multidimensional risk </w:t>
      </w:r>
      <w:r w:rsidR="000914A1" w:rsidRPr="00326BED">
        <w:rPr>
          <w:rFonts w:ascii="Arial" w:eastAsia="Times New Roman" w:hAnsi="Arial" w:cs="Arial"/>
          <w:color w:val="222222"/>
          <w:sz w:val="24"/>
          <w:szCs w:val="24"/>
          <w:lang w:eastAsia="en-NG"/>
        </w:rPr>
        <w:t>lens connecting</w:t>
      </w:r>
      <w:r w:rsidRPr="00326BED">
        <w:rPr>
          <w:rFonts w:ascii="Arial" w:eastAsia="Times New Roman" w:hAnsi="Arial" w:cs="Arial"/>
          <w:color w:val="222222"/>
          <w:sz w:val="24"/>
          <w:szCs w:val="24"/>
          <w:lang w:eastAsia="en-NG"/>
        </w:rPr>
        <w:t xml:space="preserve"> strategic management literature to the Security and Risk Management frameworks central to this module.</w:t>
      </w:r>
    </w:p>
    <w:p w14:paraId="6046C12A" w14:textId="77777777" w:rsidR="001741C6" w:rsidRDefault="001741C6" w:rsidP="000914A1">
      <w:pPr>
        <w:shd w:val="clear" w:color="auto" w:fill="FFFFFF"/>
        <w:jc w:val="both"/>
        <w:rPr>
          <w:rFonts w:ascii="Arial" w:eastAsia="Times New Roman" w:hAnsi="Arial" w:cs="Arial"/>
          <w:color w:val="222222"/>
          <w:sz w:val="24"/>
          <w:szCs w:val="24"/>
          <w:lang w:eastAsia="en-NG"/>
        </w:rPr>
      </w:pPr>
    </w:p>
    <w:p w14:paraId="1BDB2744" w14:textId="194A1495" w:rsidR="001741C6" w:rsidRDefault="001741C6" w:rsidP="000914A1">
      <w:pPr>
        <w:shd w:val="clear" w:color="auto" w:fill="FFFFFF"/>
        <w:jc w:val="both"/>
        <w:rPr>
          <w:rFonts w:ascii="Arial" w:eastAsia="Times New Roman" w:hAnsi="Arial" w:cs="Arial"/>
          <w:color w:val="222222"/>
          <w:sz w:val="24"/>
          <w:szCs w:val="24"/>
          <w:lang w:eastAsia="en-NG"/>
        </w:rPr>
      </w:pPr>
      <w:r>
        <w:rPr>
          <w:rFonts w:ascii="Arial" w:eastAsia="Times New Roman" w:hAnsi="Arial" w:cs="Arial"/>
          <w:color w:val="222222"/>
          <w:sz w:val="24"/>
          <w:szCs w:val="24"/>
          <w:lang w:eastAsia="en-NG"/>
        </w:rPr>
        <w:t>UNIT 12</w:t>
      </w:r>
    </w:p>
    <w:p w14:paraId="0E1C4309" w14:textId="06781754" w:rsidR="000914A1" w:rsidRDefault="000914A1" w:rsidP="000914A1">
      <w:pPr>
        <w:shd w:val="clear" w:color="auto" w:fill="FFFFFF"/>
        <w:jc w:val="both"/>
        <w:rPr>
          <w:rFonts w:ascii="Arial" w:eastAsia="Times New Roman" w:hAnsi="Arial" w:cs="Arial"/>
          <w:color w:val="222222"/>
          <w:sz w:val="24"/>
          <w:szCs w:val="24"/>
          <w:lang w:eastAsia="en-NG"/>
        </w:rPr>
      </w:pPr>
      <w:r w:rsidRPr="000914A1">
        <w:rPr>
          <w:rFonts w:ascii="Arial" w:eastAsia="Times New Roman" w:hAnsi="Arial" w:cs="Arial"/>
          <w:color w:val="222222"/>
          <w:sz w:val="24"/>
          <w:szCs w:val="24"/>
          <w:lang w:eastAsia="en-NG"/>
        </w:rPr>
        <w:t xml:space="preserve">Engagement with Unit 12 required reading, particularly Marks (2019) on optimal risk framework selection and Nicol et al. (2012) on science of security hard problems, </w:t>
      </w:r>
      <w:r w:rsidRPr="000914A1">
        <w:rPr>
          <w:rFonts w:ascii="Arial" w:eastAsia="Times New Roman" w:hAnsi="Arial" w:cs="Arial"/>
          <w:color w:val="222222"/>
          <w:sz w:val="24"/>
          <w:szCs w:val="24"/>
          <w:lang w:eastAsia="en-NG"/>
        </w:rPr>
        <w:lastRenderedPageBreak/>
        <w:t xml:space="preserve">provided a consolidating perspective on the entire module by reinforcing that effective risk management requires rigorous, evidence-based framework selection appropriate to the </w:t>
      </w:r>
      <w:r w:rsidRPr="000914A1">
        <w:rPr>
          <w:rFonts w:ascii="Arial" w:eastAsia="Times New Roman" w:hAnsi="Arial" w:cs="Arial"/>
          <w:color w:val="222222"/>
          <w:sz w:val="24"/>
          <w:szCs w:val="24"/>
          <w:lang w:eastAsia="en-NG"/>
        </w:rPr>
        <w:t>organizational</w:t>
      </w:r>
      <w:r w:rsidRPr="000914A1">
        <w:rPr>
          <w:rFonts w:ascii="Arial" w:eastAsia="Times New Roman" w:hAnsi="Arial" w:cs="Arial"/>
          <w:color w:val="222222"/>
          <w:sz w:val="24"/>
          <w:szCs w:val="24"/>
          <w:lang w:eastAsia="en-NG"/>
        </w:rPr>
        <w:t xml:space="preserve"> context. This reading affirmed that the methodological choices made in the team </w:t>
      </w:r>
      <w:proofErr w:type="gramStart"/>
      <w:r w:rsidRPr="000914A1">
        <w:rPr>
          <w:rFonts w:ascii="Arial" w:eastAsia="Times New Roman" w:hAnsi="Arial" w:cs="Arial"/>
          <w:color w:val="222222"/>
          <w:sz w:val="24"/>
          <w:szCs w:val="24"/>
          <w:lang w:eastAsia="en-NG"/>
        </w:rPr>
        <w:t>project  selecting</w:t>
      </w:r>
      <w:proofErr w:type="gramEnd"/>
      <w:r w:rsidRPr="000914A1">
        <w:rPr>
          <w:rFonts w:ascii="Arial" w:eastAsia="Times New Roman" w:hAnsi="Arial" w:cs="Arial"/>
          <w:color w:val="222222"/>
          <w:sz w:val="24"/>
          <w:szCs w:val="24"/>
          <w:lang w:eastAsia="en-NG"/>
        </w:rPr>
        <w:t xml:space="preserve"> STRIDE for infrastructure threat modelling and NIST SP 800-30 for digitalization risk </w:t>
      </w:r>
      <w:proofErr w:type="gramStart"/>
      <w:r w:rsidRPr="000914A1">
        <w:rPr>
          <w:rFonts w:ascii="Arial" w:eastAsia="Times New Roman" w:hAnsi="Arial" w:cs="Arial"/>
          <w:color w:val="222222"/>
          <w:sz w:val="24"/>
          <w:szCs w:val="24"/>
          <w:lang w:eastAsia="en-NG"/>
        </w:rPr>
        <w:t>assessment  were</w:t>
      </w:r>
      <w:proofErr w:type="gramEnd"/>
      <w:r w:rsidRPr="000914A1">
        <w:rPr>
          <w:rFonts w:ascii="Arial" w:eastAsia="Times New Roman" w:hAnsi="Arial" w:cs="Arial"/>
          <w:color w:val="222222"/>
          <w:sz w:val="24"/>
          <w:szCs w:val="24"/>
          <w:lang w:eastAsia="en-NG"/>
        </w:rPr>
        <w:t xml:space="preserve"> consistent with optimal framework selection principles. This artefact evidences the completion of my structured reading engagement across all twelve units and my cumulative understanding of Security and Risk Management as an integrated discipline.</w:t>
      </w:r>
    </w:p>
    <w:p w14:paraId="3F3366F6" w14:textId="77777777" w:rsidR="00487945" w:rsidRPr="009416A2" w:rsidRDefault="00487945" w:rsidP="000914A1">
      <w:pPr>
        <w:shd w:val="clear" w:color="auto" w:fill="FFFFFF"/>
        <w:jc w:val="both"/>
        <w:rPr>
          <w:rFonts w:ascii="Arial" w:eastAsia="Times New Roman" w:hAnsi="Arial" w:cs="Arial"/>
          <w:color w:val="222222"/>
          <w:sz w:val="24"/>
          <w:szCs w:val="24"/>
          <w:lang w:val="en-NG" w:eastAsia="en-NG"/>
        </w:rPr>
      </w:pPr>
    </w:p>
    <w:p w14:paraId="0B11350A" w14:textId="5EF8F803" w:rsidR="009416A2" w:rsidRPr="009416A2" w:rsidRDefault="009416A2" w:rsidP="000914A1">
      <w:pPr>
        <w:shd w:val="clear" w:color="auto" w:fill="FFFFFF"/>
        <w:jc w:val="both"/>
        <w:rPr>
          <w:rFonts w:ascii="Arial" w:eastAsia="Times New Roman" w:hAnsi="Arial" w:cs="Arial"/>
          <w:color w:val="222222"/>
          <w:sz w:val="24"/>
          <w:szCs w:val="24"/>
          <w:lang w:val="en-NG" w:eastAsia="en-NG"/>
        </w:rPr>
      </w:pPr>
    </w:p>
    <w:p w14:paraId="5669DACB" w14:textId="55C14182" w:rsidR="00CD1C46" w:rsidRDefault="00CD1C46" w:rsidP="000914A1">
      <w:pPr>
        <w:jc w:val="both"/>
      </w:pPr>
    </w:p>
    <w:sectPr w:rsidR="00CD1C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6A2"/>
    <w:rsid w:val="000914A1"/>
    <w:rsid w:val="001741C6"/>
    <w:rsid w:val="00326BED"/>
    <w:rsid w:val="003E1822"/>
    <w:rsid w:val="00487945"/>
    <w:rsid w:val="00847136"/>
    <w:rsid w:val="0085685E"/>
    <w:rsid w:val="009416A2"/>
    <w:rsid w:val="00B80920"/>
    <w:rsid w:val="00CD1C46"/>
    <w:rsid w:val="00D73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0DF8E"/>
  <w15:chartTrackingRefBased/>
  <w15:docId w15:val="{9F718AF9-C3A4-48EE-A2C7-9ADC8DCB6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6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16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16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16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16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1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6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16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16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16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16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1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6A2"/>
    <w:rPr>
      <w:rFonts w:eastAsiaTheme="majorEastAsia" w:cstheme="majorBidi"/>
      <w:color w:val="272727" w:themeColor="text1" w:themeTint="D8"/>
    </w:rPr>
  </w:style>
  <w:style w:type="paragraph" w:styleId="Title">
    <w:name w:val="Title"/>
    <w:basedOn w:val="Normal"/>
    <w:next w:val="Normal"/>
    <w:link w:val="TitleChar"/>
    <w:uiPriority w:val="10"/>
    <w:qFormat/>
    <w:rsid w:val="00941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6A2"/>
    <w:pPr>
      <w:spacing w:before="160"/>
      <w:jc w:val="center"/>
    </w:pPr>
    <w:rPr>
      <w:i/>
      <w:iCs/>
      <w:color w:val="404040" w:themeColor="text1" w:themeTint="BF"/>
    </w:rPr>
  </w:style>
  <w:style w:type="character" w:customStyle="1" w:styleId="QuoteChar">
    <w:name w:val="Quote Char"/>
    <w:basedOn w:val="DefaultParagraphFont"/>
    <w:link w:val="Quote"/>
    <w:uiPriority w:val="29"/>
    <w:rsid w:val="009416A2"/>
    <w:rPr>
      <w:i/>
      <w:iCs/>
      <w:color w:val="404040" w:themeColor="text1" w:themeTint="BF"/>
    </w:rPr>
  </w:style>
  <w:style w:type="paragraph" w:styleId="ListParagraph">
    <w:name w:val="List Paragraph"/>
    <w:basedOn w:val="Normal"/>
    <w:uiPriority w:val="34"/>
    <w:qFormat/>
    <w:rsid w:val="009416A2"/>
    <w:pPr>
      <w:ind w:left="720"/>
      <w:contextualSpacing/>
    </w:pPr>
  </w:style>
  <w:style w:type="character" w:styleId="IntenseEmphasis">
    <w:name w:val="Intense Emphasis"/>
    <w:basedOn w:val="DefaultParagraphFont"/>
    <w:uiPriority w:val="21"/>
    <w:qFormat/>
    <w:rsid w:val="009416A2"/>
    <w:rPr>
      <w:i/>
      <w:iCs/>
      <w:color w:val="2F5496" w:themeColor="accent1" w:themeShade="BF"/>
    </w:rPr>
  </w:style>
  <w:style w:type="paragraph" w:styleId="IntenseQuote">
    <w:name w:val="Intense Quote"/>
    <w:basedOn w:val="Normal"/>
    <w:next w:val="Normal"/>
    <w:link w:val="IntenseQuoteChar"/>
    <w:uiPriority w:val="30"/>
    <w:qFormat/>
    <w:rsid w:val="00941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16A2"/>
    <w:rPr>
      <w:i/>
      <w:iCs/>
      <w:color w:val="2F5496" w:themeColor="accent1" w:themeShade="BF"/>
    </w:rPr>
  </w:style>
  <w:style w:type="character" w:styleId="IntenseReference">
    <w:name w:val="Intense Reference"/>
    <w:basedOn w:val="DefaultParagraphFont"/>
    <w:uiPriority w:val="32"/>
    <w:qFormat/>
    <w:rsid w:val="009416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1230</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LABFNFNGMBITRUS</dc:creator>
  <cp:keywords/>
  <dc:description/>
  <cp:lastModifiedBy>LABFNFNGMBITRUS</cp:lastModifiedBy>
  <cp:revision>1</cp:revision>
  <dcterms:created xsi:type="dcterms:W3CDTF">2026-04-17T23:00:00Z</dcterms:created>
  <dcterms:modified xsi:type="dcterms:W3CDTF">2026-04-18T00:20:00Z</dcterms:modified>
</cp:coreProperties>
</file>