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inline distT="0" distB="0" distL="114935" distR="114935" wp14:anchorId="21A2159F" wp14:editId="62244190">
                  <wp:extent cx="822325" cy="89979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โทร. 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ภายในวงเงิน 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๒๕๖๐ ข้อ 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inline distT="0" distB="0" distL="114935" distR="114935" wp14:anchorId="25B23789" wp14:editId="4109599D">
                  <wp:extent cx="622300" cy="685800"/>
                  <wp:effectExtent l="0" t="0" r="635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inline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spacing w:before="0" w:after="0"/>
        <w:ind w:left="0" w:right="0" w:firstLine="0"/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inline distT="0" distB="0" distL="114935" distR="114935" wp14:anchorId="615A9153" wp14:editId="6A860E38">
            <wp:extent cx="643466" cy="709269"/>
            <wp:effectExtent l="0" t="0" r="4445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inline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  <w:t>1</w:t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 รายการ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 New" w:eastAsia="TH Sarabun New" w:hAnsi="TH Sarabun New" w:cs="TH Sarabun New"/>
          <w:color w:val="7030A0"/>
          <w:sz w:val="32"/>
          <w:szCs w:val="32"/>
        </w:rPr>
        <w:t>1,000,000.00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หนึ่งพันบาทถ้วน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cs="TH SarabunIT๙"/>
          <w:sz w:val="32"/>
        </w:rPr>
        <w:t xml:space="preserve">ประกาศ ณ วันที่ </w:t>
      </w:r>
      <w:r>
        <w:rPr>
          <w:rFonts w:ascii="TH Sarabun New" w:hAnsi="TH Sarabun New" w:cs="TH Sarabun New"/>
          <w:sz w:val="32"/>
        </w:rPr>
        <w:t>21</w:t>
      </w:r>
      <w:r>
        <w:rPr>
          <w:rFonts w:ascii="TH SarabunIT๙" w:hAnsi="TH SarabunIT๙" w:cs="TH SarabunIT๙"/>
          <w:sz w:val="32"/>
        </w:rPr>
        <w:t xml:space="preserve"> สิงหาคม </w:t>
      </w:r>
      <w:r>
        <w:rPr>
          <w:rFonts w:ascii="TH Sarabun New" w:hAnsi="TH Sarabun New" w:cs="TH Sarabun New"/>
          <w:sz w:val="32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