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7E3CB" w14:textId="4AB93883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3F0F122C" w14:textId="77777777" w:rsidR="00A135B4" w:rsidRDefault="00A135B4" w:rsidP="00C6554A">
      <w:pPr>
        <w:pStyle w:val="Title"/>
        <w:rPr>
          <w:noProof/>
        </w:rPr>
      </w:pPr>
    </w:p>
    <w:p w14:paraId="648F05EB" w14:textId="77777777" w:rsidR="00A135B4" w:rsidRDefault="00A135B4" w:rsidP="00C6554A">
      <w:pPr>
        <w:pStyle w:val="Title"/>
        <w:rPr>
          <w:noProof/>
        </w:rPr>
      </w:pPr>
    </w:p>
    <w:p w14:paraId="66BC0461" w14:textId="77777777" w:rsidR="00A135B4" w:rsidRDefault="00A135B4" w:rsidP="00C6554A">
      <w:pPr>
        <w:pStyle w:val="Title"/>
        <w:rPr>
          <w:noProof/>
        </w:rPr>
      </w:pPr>
    </w:p>
    <w:p w14:paraId="7B16B71D" w14:textId="77777777" w:rsidR="00A135B4" w:rsidRDefault="00A135B4" w:rsidP="00C6554A">
      <w:pPr>
        <w:pStyle w:val="Title"/>
        <w:rPr>
          <w:noProof/>
        </w:rPr>
      </w:pPr>
    </w:p>
    <w:p w14:paraId="74B37FC8" w14:textId="77777777" w:rsidR="00A135B4" w:rsidRDefault="00A135B4" w:rsidP="00C6554A">
      <w:pPr>
        <w:pStyle w:val="Title"/>
        <w:rPr>
          <w:noProof/>
        </w:rPr>
      </w:pPr>
    </w:p>
    <w:p w14:paraId="428AAA63" w14:textId="77777777" w:rsidR="00A135B4" w:rsidRDefault="00A135B4" w:rsidP="00C6554A">
      <w:pPr>
        <w:pStyle w:val="Title"/>
        <w:rPr>
          <w:noProof/>
        </w:rPr>
      </w:pPr>
    </w:p>
    <w:p w14:paraId="5BAAC580" w14:textId="50587A84" w:rsidR="00C6554A" w:rsidRPr="003E0F2D" w:rsidRDefault="00956A9A" w:rsidP="00C6554A">
      <w:pPr>
        <w:pStyle w:val="Title"/>
        <w:rPr>
          <w:lang w:val="en-CA"/>
        </w:rPr>
      </w:pPr>
      <w:r w:rsidRPr="003E0F2D">
        <w:rPr>
          <w:lang w:val="en-CA"/>
        </w:rPr>
        <w:t xml:space="preserve"> </w:t>
      </w:r>
      <w:r w:rsidR="00A36547" w:rsidRPr="003E0F2D">
        <w:rPr>
          <w:lang w:val="en-CA"/>
        </w:rPr>
        <w:t>Assignment</w:t>
      </w:r>
      <w:r w:rsidR="00FD0769" w:rsidRPr="003E0F2D">
        <w:rPr>
          <w:lang w:val="en-CA"/>
        </w:rPr>
        <w:t xml:space="preserve"> </w:t>
      </w:r>
      <w:r w:rsidR="00A21EF5" w:rsidRPr="003E0F2D">
        <w:rPr>
          <w:lang w:val="en-CA"/>
        </w:rPr>
        <w:t>3</w:t>
      </w:r>
    </w:p>
    <w:p w14:paraId="4167A8C6" w14:textId="756C0766" w:rsidR="00C6554A" w:rsidRPr="00A039D0" w:rsidRDefault="00A039D0" w:rsidP="00C6554A">
      <w:pPr>
        <w:pStyle w:val="Subtitle"/>
        <w:rPr>
          <w:lang w:val="en-CA"/>
        </w:rPr>
      </w:pPr>
      <w:r w:rsidRPr="00A039D0">
        <w:rPr>
          <w:lang w:val="en-CA"/>
        </w:rPr>
        <w:t>BALANCED SCORECARD AN</w:t>
      </w:r>
      <w:r>
        <w:rPr>
          <w:lang w:val="en-CA"/>
        </w:rPr>
        <w:t xml:space="preserve">D </w:t>
      </w:r>
      <w:r w:rsidR="00A21EF5">
        <w:rPr>
          <w:lang w:val="en-CA"/>
        </w:rPr>
        <w:t>KEY PERFORMANCE INDICATORS</w:t>
      </w:r>
    </w:p>
    <w:p w14:paraId="40C295A3" w14:textId="75A66C5D" w:rsidR="00C6554A" w:rsidRPr="00A21EF5" w:rsidRDefault="0038456E" w:rsidP="00C6554A">
      <w:pPr>
        <w:pStyle w:val="ContactInfo"/>
        <w:rPr>
          <w:lang w:val="pt-BR"/>
        </w:rPr>
      </w:pPr>
      <w:r w:rsidRPr="00A21EF5">
        <w:rPr>
          <w:lang w:val="pt-BR"/>
        </w:rPr>
        <w:t>Elaine Candido da Silva –</w:t>
      </w:r>
      <w:r w:rsidR="00825CCF" w:rsidRPr="00A21EF5">
        <w:rPr>
          <w:lang w:val="pt-BR"/>
        </w:rPr>
        <w:t xml:space="preserve"> W</w:t>
      </w:r>
      <w:r w:rsidRPr="00A21EF5">
        <w:rPr>
          <w:lang w:val="pt-BR"/>
        </w:rPr>
        <w:t>0445885</w:t>
      </w:r>
      <w:r w:rsidR="00C6554A" w:rsidRPr="00A21EF5">
        <w:rPr>
          <w:lang w:val="pt-BR"/>
        </w:rPr>
        <w:t xml:space="preserve"> | </w:t>
      </w:r>
      <w:r w:rsidR="007D5B08" w:rsidRPr="00A21EF5">
        <w:rPr>
          <w:lang w:val="pt-BR"/>
        </w:rPr>
        <w:t>DBAS2104</w:t>
      </w:r>
      <w:r w:rsidR="00C6554A" w:rsidRPr="00A21EF5">
        <w:rPr>
          <w:lang w:val="pt-BR"/>
        </w:rPr>
        <w:t xml:space="preserve"> | </w:t>
      </w:r>
      <w:proofErr w:type="spellStart"/>
      <w:r w:rsidR="00A21EF5" w:rsidRPr="00A21EF5">
        <w:rPr>
          <w:lang w:val="pt-BR"/>
        </w:rPr>
        <w:t>March</w:t>
      </w:r>
      <w:proofErr w:type="spellEnd"/>
      <w:r w:rsidR="00E002DC">
        <w:rPr>
          <w:lang w:val="pt-BR"/>
        </w:rPr>
        <w:t>,</w:t>
      </w:r>
      <w:r w:rsidR="00FD0769" w:rsidRPr="00A21EF5">
        <w:rPr>
          <w:lang w:val="pt-BR"/>
        </w:rPr>
        <w:t xml:space="preserve"> 20</w:t>
      </w:r>
      <w:r w:rsidR="009D03E1" w:rsidRPr="00A21EF5">
        <w:rPr>
          <w:lang w:val="pt-BR"/>
        </w:rPr>
        <w:t>2</w:t>
      </w:r>
      <w:r w:rsidR="00C14889" w:rsidRPr="00A21EF5">
        <w:rPr>
          <w:lang w:val="pt-BR"/>
        </w:rPr>
        <w:t>4</w:t>
      </w:r>
      <w:r w:rsidR="00C6554A" w:rsidRPr="00A21EF5">
        <w:rPr>
          <w:lang w:val="pt-BR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-3786329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E1CC8D" w14:textId="3DF17F90" w:rsidR="00FD0769" w:rsidRDefault="00FD0769">
          <w:pPr>
            <w:pStyle w:val="TOCHeading"/>
          </w:pPr>
          <w:r>
            <w:t>Contents</w:t>
          </w:r>
        </w:p>
        <w:p w14:paraId="57BC326A" w14:textId="5F94D8FF" w:rsidR="009A44EF" w:rsidRDefault="00FD0769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89187" w:history="1">
            <w:r w:rsidR="009A44EF" w:rsidRPr="005A6F41">
              <w:rPr>
                <w:rStyle w:val="Hyperlink"/>
                <w:noProof/>
              </w:rPr>
              <w:t>Activity 1 LinkedIn Learning</w:t>
            </w:r>
            <w:r w:rsidR="009A44EF">
              <w:rPr>
                <w:noProof/>
                <w:webHidden/>
              </w:rPr>
              <w:tab/>
            </w:r>
            <w:r w:rsidR="009A44EF">
              <w:rPr>
                <w:noProof/>
                <w:webHidden/>
              </w:rPr>
              <w:fldChar w:fldCharType="begin"/>
            </w:r>
            <w:r w:rsidR="009A44EF">
              <w:rPr>
                <w:noProof/>
                <w:webHidden/>
              </w:rPr>
              <w:instrText xml:space="preserve"> PAGEREF _Toc162289187 \h </w:instrText>
            </w:r>
            <w:r w:rsidR="009A44EF">
              <w:rPr>
                <w:noProof/>
                <w:webHidden/>
              </w:rPr>
            </w:r>
            <w:r w:rsidR="009A44EF">
              <w:rPr>
                <w:noProof/>
                <w:webHidden/>
              </w:rPr>
              <w:fldChar w:fldCharType="separate"/>
            </w:r>
            <w:r w:rsidR="009A44EF">
              <w:rPr>
                <w:noProof/>
                <w:webHidden/>
              </w:rPr>
              <w:t>2</w:t>
            </w:r>
            <w:r w:rsidR="009A44EF">
              <w:rPr>
                <w:noProof/>
                <w:webHidden/>
              </w:rPr>
              <w:fldChar w:fldCharType="end"/>
            </w:r>
          </w:hyperlink>
        </w:p>
        <w:p w14:paraId="69E6EA8A" w14:textId="664B0C84" w:rsidR="009A44EF" w:rsidRDefault="009A44EF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2289188" w:history="1">
            <w:r w:rsidRPr="005A6F41">
              <w:rPr>
                <w:rStyle w:val="Hyperlink"/>
                <w:noProof/>
              </w:rPr>
              <w:t>Item 1 – Balanced Scorecard and Key Performance 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_Toc162289188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0AEC3" w14:textId="5409BF51" w:rsidR="009A44EF" w:rsidRDefault="009A44EF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2289189" w:history="1">
            <w:r w:rsidRPr="005A6F41">
              <w:rPr>
                <w:rStyle w:val="Hyperlink"/>
                <w:noProof/>
              </w:rPr>
              <w:t>Activity 2 Scenario evaluation.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_Toc162289189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D47A2" w14:textId="307CF476" w:rsidR="009A44EF" w:rsidRDefault="009A44EF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2289190" w:history="1">
            <w:r w:rsidRPr="005A6F41">
              <w:rPr>
                <w:rStyle w:val="Hyperlink"/>
                <w:noProof/>
              </w:rPr>
              <w:t>Item 1 – Balanced Scorecard (BSC).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_Toc162289190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1CEB2" w14:textId="4F1DB1E1" w:rsidR="009A44EF" w:rsidRDefault="009A44EF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2289191" w:history="1">
            <w:r w:rsidRPr="005A6F41">
              <w:rPr>
                <w:rStyle w:val="Hyperlink"/>
                <w:noProof/>
              </w:rPr>
              <w:t>Item 2 – Key Performance Indicators (KPIs).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_Toc162289191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34906" w14:textId="13E5877B" w:rsidR="009A44EF" w:rsidRDefault="009A44EF">
          <w:pPr>
            <w:pStyle w:val="TOC2"/>
            <w:tabs>
              <w:tab w:val="right" w:leader="dot" w:pos="877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2289192" w:history="1">
            <w:r w:rsidRPr="005A6F41">
              <w:rPr>
                <w:rStyle w:val="Hyperlink"/>
                <w:noProof/>
              </w:rPr>
              <w:t>Item 3 – Integration.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_Toc162289192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53428" w14:textId="120AE9F3" w:rsidR="009A44EF" w:rsidRDefault="009A44EF">
          <w:pPr>
            <w:pStyle w:val="TOC1"/>
            <w:tabs>
              <w:tab w:val="right" w:leader="dot" w:pos="8777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2289193" w:history="1">
            <w:r w:rsidRPr="005A6F41">
              <w:rPr>
                <w:rStyle w:val="Hyperlink"/>
                <w:noProof/>
              </w:rPr>
              <w:t>References.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_Toc162289193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0EAEE" w14:textId="234EDF97" w:rsidR="00FD0769" w:rsidRDefault="00FD0769">
          <w:r>
            <w:rPr>
              <w:b/>
              <w:bCs/>
              <w:noProof/>
            </w:rPr>
            <w:fldChar w:fldCharType="end"/>
          </w:r>
        </w:p>
      </w:sdtContent>
    </w:sdt>
    <w:p w14:paraId="2BAB0EE1" w14:textId="4866AD98" w:rsidR="001A6C65" w:rsidRDefault="001A6C65">
      <w:r>
        <w:br w:type="page"/>
      </w:r>
    </w:p>
    <w:p w14:paraId="03F362AA" w14:textId="21FB91C3" w:rsidR="00C6554A" w:rsidRDefault="00FD0769" w:rsidP="00C6554A">
      <w:pPr>
        <w:pStyle w:val="Heading1"/>
      </w:pPr>
      <w:bookmarkStart w:id="5" w:name="_Toc162289187"/>
      <w:r>
        <w:lastRenderedPageBreak/>
        <w:t>Activity 1</w:t>
      </w:r>
      <w:r w:rsidR="00704905">
        <w:t xml:space="preserve"> LinkedIn Learning</w:t>
      </w:r>
      <w:bookmarkEnd w:id="5"/>
    </w:p>
    <w:p w14:paraId="4F62014B" w14:textId="2BCDCE5B" w:rsidR="00704905" w:rsidRDefault="00704905" w:rsidP="00704905">
      <w:pPr>
        <w:pStyle w:val="Heading2"/>
        <w:rPr>
          <w:caps w:val="0"/>
        </w:rPr>
      </w:pPr>
      <w:bookmarkStart w:id="6" w:name="_Toc162289188"/>
      <w:r>
        <w:rPr>
          <w:caps w:val="0"/>
        </w:rPr>
        <w:t xml:space="preserve">Item </w:t>
      </w:r>
      <w:r w:rsidR="002A1CE2">
        <w:rPr>
          <w:caps w:val="0"/>
        </w:rPr>
        <w:t xml:space="preserve">1 – </w:t>
      </w:r>
      <w:r w:rsidR="00225E3D">
        <w:rPr>
          <w:caps w:val="0"/>
        </w:rPr>
        <w:t>Balanced Scorecard and Key Performance Indicators</w:t>
      </w:r>
      <w:bookmarkEnd w:id="6"/>
    </w:p>
    <w:p w14:paraId="239612F5" w14:textId="77777777" w:rsidR="00704905" w:rsidRDefault="00704905" w:rsidP="00C6554A">
      <w:pPr>
        <w:pStyle w:val="Heading2"/>
      </w:pPr>
    </w:p>
    <w:p w14:paraId="7C310C76" w14:textId="77777777" w:rsidR="001A6C65" w:rsidRDefault="00432737" w:rsidP="001A6C65">
      <w:pPr>
        <w:keepNext/>
      </w:pPr>
      <w:r w:rsidRPr="00432737">
        <w:rPr>
          <w:noProof/>
        </w:rPr>
        <w:drawing>
          <wp:inline distT="0" distB="0" distL="0" distR="0" wp14:anchorId="737FE2FF" wp14:editId="674BDF4B">
            <wp:extent cx="4636800" cy="3536449"/>
            <wp:effectExtent l="0" t="0" r="0" b="6985"/>
            <wp:docPr id="33082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29436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800" cy="353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C026" w14:textId="53DEDF21" w:rsidR="004E7A88" w:rsidRDefault="001A6C65" w:rsidP="001A6C6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D3CBFB8" w14:textId="77777777" w:rsidR="0072467A" w:rsidRDefault="0072467A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4598E4DF" w14:textId="6AB2ED0B" w:rsidR="00D067C4" w:rsidRDefault="00D067C4" w:rsidP="00D067C4">
      <w:pPr>
        <w:pStyle w:val="Heading1"/>
      </w:pPr>
      <w:bookmarkStart w:id="7" w:name="_Toc162289189"/>
      <w:r>
        <w:lastRenderedPageBreak/>
        <w:t>Activity 2</w:t>
      </w:r>
      <w:r w:rsidR="00CD507F">
        <w:t xml:space="preserve"> </w:t>
      </w:r>
      <w:r w:rsidR="002E7BA4">
        <w:t>S</w:t>
      </w:r>
      <w:r w:rsidR="008265F1">
        <w:t>cenario</w:t>
      </w:r>
      <w:r w:rsidR="002E7BA4">
        <w:t xml:space="preserve"> evaluation</w:t>
      </w:r>
      <w:r w:rsidR="00441BFC">
        <w:t>.</w:t>
      </w:r>
      <w:bookmarkEnd w:id="7"/>
    </w:p>
    <w:p w14:paraId="1DC81ADB" w14:textId="60385C54" w:rsidR="00087F96" w:rsidRDefault="00087F96" w:rsidP="00087F96">
      <w:pPr>
        <w:pStyle w:val="Heading2"/>
        <w:rPr>
          <w:caps w:val="0"/>
        </w:rPr>
      </w:pPr>
      <w:bookmarkStart w:id="8" w:name="_Toc162289190"/>
      <w:r>
        <w:rPr>
          <w:caps w:val="0"/>
        </w:rPr>
        <w:t xml:space="preserve">Item 1 – </w:t>
      </w:r>
      <w:r w:rsidR="008265F1">
        <w:rPr>
          <w:caps w:val="0"/>
        </w:rPr>
        <w:t>Balanced Score</w:t>
      </w:r>
      <w:r w:rsidR="00574CE3">
        <w:rPr>
          <w:caps w:val="0"/>
        </w:rPr>
        <w:t>card (BSC).</w:t>
      </w:r>
      <w:bookmarkEnd w:id="8"/>
    </w:p>
    <w:p w14:paraId="1FAD82A6" w14:textId="77777777" w:rsidR="00095EEE" w:rsidRPr="003E0F2D" w:rsidRDefault="00095EEE" w:rsidP="000E2768">
      <w:pPr>
        <w:jc w:val="both"/>
      </w:pPr>
      <w:r w:rsidRPr="003E0F2D">
        <w:t>The Balanced Scorecard (BSC) is a strategic management tool that helps organizations translate their vision and strategy into actionable objectives across four perspectives:</w:t>
      </w:r>
    </w:p>
    <w:p w14:paraId="06E8A902" w14:textId="3E6EA83A" w:rsidR="00095EEE" w:rsidRDefault="00095EEE" w:rsidP="003C128F">
      <w:pPr>
        <w:pStyle w:val="ListParagraph"/>
        <w:numPr>
          <w:ilvl w:val="0"/>
          <w:numId w:val="33"/>
        </w:numPr>
        <w:ind w:left="426" w:hanging="426"/>
        <w:jc w:val="both"/>
      </w:pPr>
      <w:r w:rsidRPr="006D51CA">
        <w:rPr>
          <w:b/>
          <w:bCs/>
        </w:rPr>
        <w:t>Financial Perspective:</w:t>
      </w:r>
      <w:r w:rsidRPr="003E0F2D">
        <w:t xml:space="preserve"> This perspective focuses on financial outcomes and measures the company's profitability, revenue growth, cost control, and return on investment (ROI). For </w:t>
      </w:r>
      <w:proofErr w:type="spellStart"/>
      <w:r w:rsidRPr="003E0F2D">
        <w:t>GlobalMart</w:t>
      </w:r>
      <w:proofErr w:type="spellEnd"/>
      <w:r w:rsidRPr="003E0F2D">
        <w:t xml:space="preserve">, maintaining financial health is crucial for sustainability and growth. </w:t>
      </w:r>
    </w:p>
    <w:p w14:paraId="3CBEBC31" w14:textId="77777777" w:rsidR="0072467A" w:rsidRPr="003E0F2D" w:rsidRDefault="0072467A" w:rsidP="0072467A">
      <w:pPr>
        <w:jc w:val="both"/>
      </w:pPr>
    </w:p>
    <w:p w14:paraId="229BCBF5" w14:textId="6F19FC86" w:rsidR="00095EEE" w:rsidRDefault="00095EEE" w:rsidP="003C128F">
      <w:pPr>
        <w:pStyle w:val="ListParagraph"/>
        <w:numPr>
          <w:ilvl w:val="0"/>
          <w:numId w:val="33"/>
        </w:numPr>
        <w:ind w:left="426" w:hanging="426"/>
        <w:jc w:val="both"/>
      </w:pPr>
      <w:r w:rsidRPr="006D51CA">
        <w:rPr>
          <w:b/>
          <w:bCs/>
        </w:rPr>
        <w:t>Customer Perspective:</w:t>
      </w:r>
      <w:r w:rsidRPr="003E0F2D">
        <w:t xml:space="preserve"> Here, the emphasis is on understanding and satisfying customer needs and expectations. Metrics include customer satisfaction, retention rates, market share, and customer lifetime value. </w:t>
      </w:r>
      <w:proofErr w:type="spellStart"/>
      <w:r w:rsidRPr="003E0F2D">
        <w:t>GlobalMart's</w:t>
      </w:r>
      <w:proofErr w:type="spellEnd"/>
      <w:r w:rsidRPr="003E0F2D">
        <w:t xml:space="preserve"> success relies on delivering exceptional customer experiences both online and </w:t>
      </w:r>
      <w:r w:rsidR="00017ADA">
        <w:t>in-store</w:t>
      </w:r>
      <w:r w:rsidRPr="003E0F2D">
        <w:t>.</w:t>
      </w:r>
    </w:p>
    <w:p w14:paraId="343571F2" w14:textId="77777777" w:rsidR="0072467A" w:rsidRPr="003E0F2D" w:rsidRDefault="0072467A" w:rsidP="0072467A">
      <w:pPr>
        <w:jc w:val="both"/>
      </w:pPr>
    </w:p>
    <w:p w14:paraId="795635F6" w14:textId="2C151EE9" w:rsidR="00095EEE" w:rsidRDefault="00095EEE" w:rsidP="003C128F">
      <w:pPr>
        <w:pStyle w:val="ListParagraph"/>
        <w:numPr>
          <w:ilvl w:val="0"/>
          <w:numId w:val="33"/>
        </w:numPr>
        <w:ind w:left="426" w:hanging="426"/>
        <w:jc w:val="both"/>
      </w:pPr>
      <w:r w:rsidRPr="006D51CA">
        <w:rPr>
          <w:b/>
          <w:bCs/>
        </w:rPr>
        <w:t>Internal Business Processes Perspective:</w:t>
      </w:r>
      <w:r w:rsidRPr="003E0F2D">
        <w:t xml:space="preserve"> This perspective examines the internal processes and operations critical to delivering value to customers. Key metrics may include inventory turnover, order fulfillment speed, product </w:t>
      </w:r>
      <w:r w:rsidR="00FD7E42">
        <w:t>returned</w:t>
      </w:r>
      <w:r w:rsidRPr="003E0F2D">
        <w:t>, and supply chain efficiency. Efficient internal processes ensure timely delivery of products, contributing to customer satisfaction.</w:t>
      </w:r>
    </w:p>
    <w:p w14:paraId="05A11796" w14:textId="77777777" w:rsidR="0072467A" w:rsidRPr="003E0F2D" w:rsidRDefault="0072467A" w:rsidP="0072467A">
      <w:pPr>
        <w:jc w:val="both"/>
      </w:pPr>
    </w:p>
    <w:p w14:paraId="1D130D2A" w14:textId="74973904" w:rsidR="00095EEE" w:rsidRPr="003E0F2D" w:rsidRDefault="00095EEE" w:rsidP="003C128F">
      <w:pPr>
        <w:pStyle w:val="ListParagraph"/>
        <w:numPr>
          <w:ilvl w:val="0"/>
          <w:numId w:val="33"/>
        </w:numPr>
        <w:ind w:left="426" w:hanging="426"/>
        <w:jc w:val="both"/>
      </w:pPr>
      <w:r w:rsidRPr="006D51CA">
        <w:rPr>
          <w:b/>
          <w:bCs/>
        </w:rPr>
        <w:t xml:space="preserve">Learning and Growth </w:t>
      </w:r>
      <w:r w:rsidR="003E0F2D" w:rsidRPr="006D51CA">
        <w:rPr>
          <w:b/>
          <w:bCs/>
        </w:rPr>
        <w:t>Perspective:</w:t>
      </w:r>
      <w:r w:rsidR="003E0F2D" w:rsidRPr="003E0F2D">
        <w:t xml:space="preserve"> </w:t>
      </w:r>
      <w:r w:rsidRPr="003E0F2D">
        <w:t xml:space="preserve"> This perspective focuses on the organization's ability to innovate, learn, and adapt to changes. Metrics might include employee training hours, employee satisfaction, innovation rate, and employee turnover. </w:t>
      </w:r>
      <w:proofErr w:type="spellStart"/>
      <w:r w:rsidRPr="003E0F2D">
        <w:t>GlobalMart's</w:t>
      </w:r>
      <w:proofErr w:type="spellEnd"/>
      <w:r w:rsidRPr="003E0F2D">
        <w:t xml:space="preserve"> success depends on fostering a culture of innovation and continuous improvement among its employees.</w:t>
      </w:r>
      <w:r w:rsidRPr="003E0F2D">
        <w:br w:type="page"/>
      </w:r>
    </w:p>
    <w:p w14:paraId="5ACB390B" w14:textId="1E4A2250" w:rsidR="00574CE3" w:rsidRDefault="00574CE3" w:rsidP="00574CE3">
      <w:pPr>
        <w:pStyle w:val="Heading2"/>
        <w:rPr>
          <w:caps w:val="0"/>
        </w:rPr>
      </w:pPr>
      <w:bookmarkStart w:id="9" w:name="_Toc162289191"/>
      <w:r>
        <w:rPr>
          <w:caps w:val="0"/>
        </w:rPr>
        <w:lastRenderedPageBreak/>
        <w:t>Item 2 – Key Performance Indicators (KPIs).</w:t>
      </w:r>
      <w:bookmarkEnd w:id="9"/>
    </w:p>
    <w:p w14:paraId="14BDCD59" w14:textId="00C056F1" w:rsidR="006C5787" w:rsidRPr="00803CA6" w:rsidRDefault="006C5787" w:rsidP="006C5787">
      <w:pPr>
        <w:rPr>
          <w:b/>
          <w:bCs/>
        </w:rPr>
      </w:pPr>
      <w:r w:rsidRPr="00803CA6">
        <w:rPr>
          <w:b/>
          <w:bCs/>
        </w:rPr>
        <w:t>a) Financial Perspective:</w:t>
      </w:r>
    </w:p>
    <w:p w14:paraId="507B856E" w14:textId="7B63F799" w:rsidR="006C5787" w:rsidRPr="003E0F2D" w:rsidRDefault="006C5787" w:rsidP="006C6601">
      <w:pPr>
        <w:pStyle w:val="ListParagraph"/>
        <w:numPr>
          <w:ilvl w:val="0"/>
          <w:numId w:val="26"/>
        </w:numPr>
        <w:jc w:val="both"/>
      </w:pPr>
      <w:r w:rsidRPr="00FC7085">
        <w:rPr>
          <w:b/>
          <w:bCs/>
        </w:rPr>
        <w:t>Revenue Growth Rate</w:t>
      </w:r>
      <w:r w:rsidRPr="003E0F2D">
        <w:t>: Measures the percentage increase in revenue over a specific period.</w:t>
      </w:r>
    </w:p>
    <w:p w14:paraId="2DBAAC59" w14:textId="537DE330" w:rsidR="006C5787" w:rsidRPr="003E0F2D" w:rsidRDefault="006C5787" w:rsidP="006C6601">
      <w:pPr>
        <w:pStyle w:val="ListParagraph"/>
        <w:numPr>
          <w:ilvl w:val="0"/>
          <w:numId w:val="26"/>
        </w:numPr>
        <w:jc w:val="both"/>
      </w:pPr>
      <w:r w:rsidRPr="00FC7085">
        <w:rPr>
          <w:b/>
          <w:bCs/>
        </w:rPr>
        <w:t>Gross Profit Margin</w:t>
      </w:r>
      <w:r w:rsidRPr="003E0F2D">
        <w:t>: Indicates the percentage of revenue retained after deducting the cost of goods sold.</w:t>
      </w:r>
    </w:p>
    <w:p w14:paraId="6D728E92" w14:textId="76EB1EB6" w:rsidR="006C5787" w:rsidRPr="003E0F2D" w:rsidRDefault="006C5787" w:rsidP="006C6601">
      <w:pPr>
        <w:pStyle w:val="ListParagraph"/>
        <w:numPr>
          <w:ilvl w:val="0"/>
          <w:numId w:val="26"/>
        </w:numPr>
        <w:jc w:val="both"/>
      </w:pPr>
      <w:r w:rsidRPr="00FC7085">
        <w:rPr>
          <w:b/>
          <w:bCs/>
        </w:rPr>
        <w:t>Return on Investment (ROI)</w:t>
      </w:r>
      <w:r w:rsidRPr="003E0F2D">
        <w:t>: Calculates the efficiency of investments by comparing net profit to the initial investment.</w:t>
      </w:r>
    </w:p>
    <w:p w14:paraId="5ED478BD" w14:textId="77777777" w:rsidR="006C5787" w:rsidRPr="003E0F2D" w:rsidRDefault="006C5787" w:rsidP="00A30EE2">
      <w:pPr>
        <w:jc w:val="both"/>
      </w:pPr>
    </w:p>
    <w:p w14:paraId="1828D4B0" w14:textId="507FA23B" w:rsidR="006C5787" w:rsidRPr="00803CA6" w:rsidRDefault="006C5787" w:rsidP="006C5787">
      <w:pPr>
        <w:rPr>
          <w:b/>
          <w:bCs/>
        </w:rPr>
      </w:pPr>
      <w:r w:rsidRPr="00803CA6">
        <w:rPr>
          <w:b/>
          <w:bCs/>
        </w:rPr>
        <w:t>b) Customer Perspective:</w:t>
      </w:r>
    </w:p>
    <w:p w14:paraId="7174183C" w14:textId="38C54A55" w:rsidR="006C5787" w:rsidRPr="003E0F2D" w:rsidRDefault="006C5787" w:rsidP="0035482D">
      <w:pPr>
        <w:pStyle w:val="ListParagraph"/>
        <w:numPr>
          <w:ilvl w:val="0"/>
          <w:numId w:val="29"/>
        </w:numPr>
        <w:jc w:val="both"/>
      </w:pPr>
      <w:r w:rsidRPr="00FC7085">
        <w:rPr>
          <w:b/>
          <w:bCs/>
        </w:rPr>
        <w:t>Customer Satisfaction Score (CSAT)</w:t>
      </w:r>
      <w:r w:rsidRPr="003E0F2D">
        <w:t>: Measures customer satisfaction levels through surveys or feedback.</w:t>
      </w:r>
    </w:p>
    <w:p w14:paraId="0DD2ADC3" w14:textId="41FBE532" w:rsidR="006C5787" w:rsidRPr="003E0F2D" w:rsidRDefault="006C5787" w:rsidP="0035482D">
      <w:pPr>
        <w:pStyle w:val="ListParagraph"/>
        <w:numPr>
          <w:ilvl w:val="0"/>
          <w:numId w:val="29"/>
        </w:numPr>
        <w:jc w:val="both"/>
      </w:pPr>
      <w:r w:rsidRPr="00FC7085">
        <w:rPr>
          <w:b/>
          <w:bCs/>
        </w:rPr>
        <w:t>Net Promoter Score (NPS)</w:t>
      </w:r>
      <w:r w:rsidRPr="003E0F2D">
        <w:t>: Evaluates customer loyalty and likelihood to recommend the brand to others.</w:t>
      </w:r>
    </w:p>
    <w:p w14:paraId="6660BDF8" w14:textId="7794954A" w:rsidR="006C5787" w:rsidRPr="003E0F2D" w:rsidRDefault="006C5787" w:rsidP="0035482D">
      <w:pPr>
        <w:pStyle w:val="ListParagraph"/>
        <w:numPr>
          <w:ilvl w:val="0"/>
          <w:numId w:val="29"/>
        </w:numPr>
        <w:jc w:val="both"/>
      </w:pPr>
      <w:r w:rsidRPr="00803CA6">
        <w:rPr>
          <w:b/>
          <w:bCs/>
        </w:rPr>
        <w:t>Market Share</w:t>
      </w:r>
      <w:r w:rsidRPr="003E0F2D">
        <w:t>: Assesses the company's portion of total sales within its industry or market segment.</w:t>
      </w:r>
    </w:p>
    <w:p w14:paraId="2864D2C6" w14:textId="77777777" w:rsidR="006C5787" w:rsidRPr="003E0F2D" w:rsidRDefault="006C5787" w:rsidP="006C5787"/>
    <w:p w14:paraId="3EF6BD30" w14:textId="519B3027" w:rsidR="006C5787" w:rsidRPr="00803CA6" w:rsidRDefault="006C5787" w:rsidP="006C5787">
      <w:pPr>
        <w:rPr>
          <w:b/>
          <w:bCs/>
        </w:rPr>
      </w:pPr>
      <w:r w:rsidRPr="00803CA6">
        <w:rPr>
          <w:b/>
          <w:bCs/>
        </w:rPr>
        <w:t>c) Internal Business Processes Perspective:</w:t>
      </w:r>
    </w:p>
    <w:p w14:paraId="1AC4AA50" w14:textId="4E62AA75" w:rsidR="006C5787" w:rsidRPr="003E0F2D" w:rsidRDefault="006C5787" w:rsidP="0035482D">
      <w:pPr>
        <w:pStyle w:val="ListParagraph"/>
        <w:numPr>
          <w:ilvl w:val="0"/>
          <w:numId w:val="30"/>
        </w:numPr>
        <w:jc w:val="both"/>
      </w:pPr>
      <w:r w:rsidRPr="00070960">
        <w:rPr>
          <w:b/>
          <w:bCs/>
        </w:rPr>
        <w:t>Inventory Turnover Ratio:</w:t>
      </w:r>
      <w:r w:rsidRPr="003E0F2D">
        <w:t xml:space="preserve"> Reflects how quickly inventory is sold and replenished within a given period.</w:t>
      </w:r>
    </w:p>
    <w:p w14:paraId="05C68AAB" w14:textId="66AEBFCF" w:rsidR="006C5787" w:rsidRPr="003E0F2D" w:rsidRDefault="006C5787" w:rsidP="0035482D">
      <w:pPr>
        <w:pStyle w:val="ListParagraph"/>
        <w:numPr>
          <w:ilvl w:val="0"/>
          <w:numId w:val="30"/>
        </w:numPr>
        <w:jc w:val="both"/>
      </w:pPr>
      <w:r w:rsidRPr="00070960">
        <w:rPr>
          <w:b/>
          <w:bCs/>
        </w:rPr>
        <w:t>Order Fulfillment Cycle Time:</w:t>
      </w:r>
      <w:r w:rsidRPr="003E0F2D">
        <w:t xml:space="preserve"> Measures the time taken from order placement to delivery.</w:t>
      </w:r>
    </w:p>
    <w:p w14:paraId="2CC2802A" w14:textId="456E4EB8" w:rsidR="006C5787" w:rsidRPr="003E0F2D" w:rsidRDefault="00DE548C" w:rsidP="0035482D">
      <w:pPr>
        <w:pStyle w:val="ListParagraph"/>
        <w:numPr>
          <w:ilvl w:val="0"/>
          <w:numId w:val="30"/>
        </w:numPr>
        <w:jc w:val="both"/>
      </w:pPr>
      <w:r>
        <w:rPr>
          <w:b/>
          <w:bCs/>
        </w:rPr>
        <w:t>Pr</w:t>
      </w:r>
      <w:r w:rsidR="00C64F18">
        <w:rPr>
          <w:b/>
          <w:bCs/>
        </w:rPr>
        <w:t>o</w:t>
      </w:r>
      <w:r>
        <w:rPr>
          <w:b/>
          <w:bCs/>
        </w:rPr>
        <w:t>duct R</w:t>
      </w:r>
      <w:r w:rsidR="00C64F18">
        <w:rPr>
          <w:b/>
          <w:bCs/>
        </w:rPr>
        <w:t>eturned</w:t>
      </w:r>
      <w:r w:rsidR="006C5787" w:rsidRPr="00070960">
        <w:rPr>
          <w:b/>
          <w:bCs/>
        </w:rPr>
        <w:t xml:space="preserve"> Rate:</w:t>
      </w:r>
      <w:r w:rsidR="006C5787" w:rsidRPr="003E0F2D">
        <w:t xml:space="preserve"> </w:t>
      </w:r>
      <w:r w:rsidR="00EF06E8" w:rsidRPr="00EF06E8">
        <w:t>Tracks the percentage of products that are returned by customers due to dissatisfaction, defects, or other reasons</w:t>
      </w:r>
      <w:r w:rsidR="006C5787" w:rsidRPr="003E0F2D">
        <w:t>.</w:t>
      </w:r>
    </w:p>
    <w:p w14:paraId="3CBB8E05" w14:textId="77777777" w:rsidR="006C5787" w:rsidRPr="003E0F2D" w:rsidRDefault="006C5787" w:rsidP="006C5787"/>
    <w:p w14:paraId="02442997" w14:textId="053068AB" w:rsidR="006C5787" w:rsidRPr="00803CA6" w:rsidRDefault="006C5787" w:rsidP="006C5787">
      <w:pPr>
        <w:rPr>
          <w:b/>
          <w:bCs/>
        </w:rPr>
      </w:pPr>
      <w:r w:rsidRPr="00803CA6">
        <w:rPr>
          <w:b/>
          <w:bCs/>
        </w:rPr>
        <w:t>d) Learning and Growth Perspective:</w:t>
      </w:r>
    </w:p>
    <w:p w14:paraId="0BFC3C2F" w14:textId="7A9CC24E" w:rsidR="006C5787" w:rsidRPr="003E0F2D" w:rsidRDefault="006C5787" w:rsidP="0035482D">
      <w:pPr>
        <w:pStyle w:val="ListParagraph"/>
        <w:numPr>
          <w:ilvl w:val="0"/>
          <w:numId w:val="31"/>
        </w:numPr>
        <w:jc w:val="both"/>
      </w:pPr>
      <w:r w:rsidRPr="00070960">
        <w:rPr>
          <w:b/>
          <w:bCs/>
        </w:rPr>
        <w:t>Employee Training Hours:</w:t>
      </w:r>
      <w:r w:rsidRPr="003E0F2D">
        <w:t xml:space="preserve"> Measures the investment in employee skill development and knowledge enhancement.</w:t>
      </w:r>
    </w:p>
    <w:p w14:paraId="669D7EA3" w14:textId="6F4AAF2A" w:rsidR="006C5787" w:rsidRPr="003E0F2D" w:rsidRDefault="006C5787" w:rsidP="0035482D">
      <w:pPr>
        <w:pStyle w:val="ListParagraph"/>
        <w:numPr>
          <w:ilvl w:val="0"/>
          <w:numId w:val="31"/>
        </w:numPr>
        <w:jc w:val="both"/>
      </w:pPr>
      <w:r w:rsidRPr="00070960">
        <w:rPr>
          <w:b/>
          <w:bCs/>
        </w:rPr>
        <w:t>Employee Satisfaction Index:</w:t>
      </w:r>
      <w:r w:rsidRPr="003E0F2D">
        <w:t xml:space="preserve"> Gauges employee morale and engagement levels through surveys.</w:t>
      </w:r>
    </w:p>
    <w:p w14:paraId="07F0A4FA" w14:textId="0AA144A5" w:rsidR="00061DAD" w:rsidRPr="003E0F2D" w:rsidRDefault="006C5787" w:rsidP="0035482D">
      <w:pPr>
        <w:pStyle w:val="ListParagraph"/>
        <w:numPr>
          <w:ilvl w:val="0"/>
          <w:numId w:val="31"/>
        </w:numPr>
        <w:jc w:val="both"/>
      </w:pPr>
      <w:r w:rsidRPr="00070960">
        <w:rPr>
          <w:b/>
          <w:bCs/>
        </w:rPr>
        <w:t>Innovation Rate:</w:t>
      </w:r>
      <w:r w:rsidRPr="003E0F2D">
        <w:t xml:space="preserve"> Tracks the frequency and success of new ideas implemented within the organization.</w:t>
      </w:r>
    </w:p>
    <w:p w14:paraId="5B262F66" w14:textId="77777777" w:rsidR="00095EEE" w:rsidRDefault="00095EEE">
      <w:pPr>
        <w:rPr>
          <w:rFonts w:asciiTheme="majorHAnsi" w:eastAsiaTheme="majorEastAsia" w:hAnsiTheme="majorHAnsi" w:cstheme="majorBidi"/>
          <w:color w:val="007789" w:themeColor="accent1" w:themeShade="BF"/>
          <w:sz w:val="24"/>
        </w:rPr>
      </w:pPr>
      <w:r>
        <w:rPr>
          <w:caps/>
        </w:rPr>
        <w:br w:type="page"/>
      </w:r>
    </w:p>
    <w:p w14:paraId="20C400C9" w14:textId="7EECBD46" w:rsidR="00061DAD" w:rsidRDefault="00061DAD" w:rsidP="00061DAD">
      <w:pPr>
        <w:pStyle w:val="Heading2"/>
        <w:rPr>
          <w:caps w:val="0"/>
        </w:rPr>
      </w:pPr>
      <w:bookmarkStart w:id="10" w:name="_Toc162289192"/>
      <w:r>
        <w:rPr>
          <w:caps w:val="0"/>
        </w:rPr>
        <w:lastRenderedPageBreak/>
        <w:t>Item 3 – Integration.</w:t>
      </w:r>
      <w:bookmarkEnd w:id="10"/>
    </w:p>
    <w:p w14:paraId="2B759F07" w14:textId="77777777" w:rsidR="006C5787" w:rsidRPr="003E0F2D" w:rsidRDefault="006C5787" w:rsidP="00A30EE2">
      <w:pPr>
        <w:jc w:val="both"/>
      </w:pPr>
      <w:r w:rsidRPr="003E0F2D">
        <w:t xml:space="preserve">The BSC and KPIs work together to provide a comprehensive view of </w:t>
      </w:r>
      <w:proofErr w:type="spellStart"/>
      <w:r w:rsidRPr="003E0F2D">
        <w:t>GlobalMart's</w:t>
      </w:r>
      <w:proofErr w:type="spellEnd"/>
      <w:r w:rsidRPr="003E0F2D">
        <w:t xml:space="preserve"> performance:</w:t>
      </w:r>
    </w:p>
    <w:p w14:paraId="13EF5E76" w14:textId="711D9441" w:rsidR="006C5787" w:rsidRPr="003E0F2D" w:rsidRDefault="006C5787" w:rsidP="0035482D">
      <w:pPr>
        <w:pStyle w:val="ListParagraph"/>
        <w:numPr>
          <w:ilvl w:val="0"/>
          <w:numId w:val="32"/>
        </w:numPr>
        <w:jc w:val="both"/>
      </w:pPr>
      <w:r w:rsidRPr="003E0F2D">
        <w:t>The BSC ensures a balanced approach by considering financial, customer, internal processes, and learning/growth aspects.</w:t>
      </w:r>
    </w:p>
    <w:p w14:paraId="61078B43" w14:textId="64A3C48D" w:rsidR="006C5787" w:rsidRPr="003E0F2D" w:rsidRDefault="006C5787" w:rsidP="0035482D">
      <w:pPr>
        <w:pStyle w:val="ListParagraph"/>
        <w:numPr>
          <w:ilvl w:val="0"/>
          <w:numId w:val="32"/>
        </w:numPr>
        <w:jc w:val="both"/>
      </w:pPr>
      <w:r w:rsidRPr="003E0F2D">
        <w:t>KPIs within each perspective offer specific metrics to measure progress toward strategic objectives.</w:t>
      </w:r>
    </w:p>
    <w:p w14:paraId="79768498" w14:textId="2C34107E" w:rsidR="006C5787" w:rsidRPr="003E0F2D" w:rsidRDefault="006C5787" w:rsidP="0035482D">
      <w:pPr>
        <w:pStyle w:val="ListParagraph"/>
        <w:numPr>
          <w:ilvl w:val="0"/>
          <w:numId w:val="32"/>
        </w:numPr>
        <w:jc w:val="both"/>
      </w:pPr>
      <w:r w:rsidRPr="003E0F2D">
        <w:t xml:space="preserve">By aligning KPIs with strategic goals, </w:t>
      </w:r>
      <w:proofErr w:type="spellStart"/>
      <w:r w:rsidRPr="003E0F2D">
        <w:t>GlobalMart</w:t>
      </w:r>
      <w:proofErr w:type="spellEnd"/>
      <w:r w:rsidRPr="003E0F2D">
        <w:t xml:space="preserve"> can monitor performance, identify areas for improvement, and make informed decisions.</w:t>
      </w:r>
    </w:p>
    <w:p w14:paraId="52C9B3B4" w14:textId="3CA87F8A" w:rsidR="006C5787" w:rsidRPr="003E0F2D" w:rsidRDefault="006C5787" w:rsidP="0035482D">
      <w:pPr>
        <w:pStyle w:val="ListParagraph"/>
        <w:numPr>
          <w:ilvl w:val="0"/>
          <w:numId w:val="32"/>
        </w:numPr>
        <w:jc w:val="both"/>
      </w:pPr>
      <w:r w:rsidRPr="003E0F2D">
        <w:t xml:space="preserve">Regular review of KPIs enables </w:t>
      </w:r>
      <w:proofErr w:type="spellStart"/>
      <w:r w:rsidRPr="003E0F2D">
        <w:t>GlobalMart</w:t>
      </w:r>
      <w:proofErr w:type="spellEnd"/>
      <w:r w:rsidRPr="003E0F2D">
        <w:t xml:space="preserve"> to adapt strategies, allocate resources effectively, and drive continuous improvement across all facets of the business.</w:t>
      </w:r>
    </w:p>
    <w:p w14:paraId="1BBB1796" w14:textId="65B9AD7D" w:rsidR="001E66FF" w:rsidRDefault="006C5787" w:rsidP="00070960">
      <w:pPr>
        <w:pStyle w:val="ListParagraph"/>
        <w:numPr>
          <w:ilvl w:val="0"/>
          <w:numId w:val="32"/>
        </w:numPr>
        <w:jc w:val="both"/>
      </w:pPr>
      <w:r w:rsidRPr="003E0F2D">
        <w:t xml:space="preserve">Integration of the BSC and KPIs fosters a holistic understanding of performance, facilitating strategic alignment and sustainable growth for </w:t>
      </w:r>
      <w:proofErr w:type="spellStart"/>
      <w:r w:rsidRPr="003E0F2D">
        <w:t>GlobalMart</w:t>
      </w:r>
      <w:proofErr w:type="spellEnd"/>
      <w:r w:rsidRPr="003E0F2D">
        <w:t>.</w:t>
      </w:r>
      <w:r w:rsidR="00A1160B" w:rsidRPr="003E0F2D">
        <w:br w:type="page"/>
      </w:r>
    </w:p>
    <w:p w14:paraId="334EA936" w14:textId="769D980E" w:rsidR="00106D8A" w:rsidRDefault="00106D8A" w:rsidP="00106D8A">
      <w:pPr>
        <w:pStyle w:val="Heading1"/>
      </w:pPr>
      <w:bookmarkStart w:id="11" w:name="_Toc162289193"/>
      <w:r>
        <w:lastRenderedPageBreak/>
        <w:t>References.</w:t>
      </w:r>
      <w:bookmarkEnd w:id="11"/>
    </w:p>
    <w:p w14:paraId="0EEC2D13" w14:textId="77777777" w:rsidR="002A1E01" w:rsidRDefault="002A1E01" w:rsidP="002A1E01">
      <w:r w:rsidRPr="002A1E01">
        <w:t>Improve using a balanced scorecard | Made to Measure KPIs</w:t>
      </w:r>
      <w:r>
        <w:t xml:space="preserve">. (2023, July 8). Made to Measure KPIs. Retrieved March 25, 2024, from </w:t>
      </w:r>
      <w:r w:rsidRPr="002A1E01">
        <w:t>https://madetomeasurekpis.com/improve-using-balanced-scorecard-bsc/#:~:text=The%20balanced%20scorecard%20approach%20is,that%20are%20important%20to%20the</w:t>
      </w:r>
    </w:p>
    <w:p w14:paraId="6136AEE8" w14:textId="77777777" w:rsidR="002A1E01" w:rsidRPr="002A1E01" w:rsidRDefault="002A1E01" w:rsidP="00106D8A">
      <w:pPr>
        <w:rPr>
          <w:lang w:val="en-CA"/>
        </w:rPr>
      </w:pPr>
    </w:p>
    <w:p w14:paraId="0F592820" w14:textId="77777777" w:rsidR="00106D8A" w:rsidRDefault="00106D8A" w:rsidP="00106D8A"/>
    <w:p w14:paraId="3DF7AA3B" w14:textId="77777777" w:rsidR="00106D8A" w:rsidRPr="00106D8A" w:rsidRDefault="00106D8A" w:rsidP="00FB01D5">
      <w:pPr>
        <w:rPr>
          <w:lang w:val="en-CA"/>
        </w:rPr>
      </w:pPr>
    </w:p>
    <w:p w14:paraId="401437F5" w14:textId="77777777" w:rsidR="00FB01D5" w:rsidRPr="008B1DDE" w:rsidRDefault="00FB01D5" w:rsidP="008B1DDE"/>
    <w:sectPr w:rsidR="00FB01D5" w:rsidRPr="008B1DDE" w:rsidSect="001C1920">
      <w:headerReference w:type="default" r:id="rId12"/>
      <w:footerReference w:type="default" r:id="rId13"/>
      <w:headerReference w:type="first" r:id="rId14"/>
      <w:pgSz w:w="11906" w:h="16838" w:code="9"/>
      <w:pgMar w:top="1418" w:right="1418" w:bottom="1418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CC77C" w14:textId="77777777" w:rsidR="0031296B" w:rsidRDefault="0031296B" w:rsidP="00C6554A">
      <w:pPr>
        <w:spacing w:before="0" w:after="0" w:line="240" w:lineRule="auto"/>
      </w:pPr>
      <w:r>
        <w:separator/>
      </w:r>
    </w:p>
  </w:endnote>
  <w:endnote w:type="continuationSeparator" w:id="0">
    <w:p w14:paraId="401DEF47" w14:textId="77777777" w:rsidR="0031296B" w:rsidRDefault="0031296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1B541" w14:textId="77777777" w:rsidR="00334B1F" w:rsidRDefault="00334B1F" w:rsidP="00334B1F">
    <w:pPr>
      <w:tabs>
        <w:tab w:val="center" w:pos="4550"/>
        <w:tab w:val="left" w:pos="5818"/>
      </w:tabs>
      <w:ind w:right="260"/>
      <w:jc w:val="right"/>
      <w:rPr>
        <w:color w:val="272D37" w:themeColor="text2" w:themeShade="80"/>
        <w:sz w:val="24"/>
        <w:szCs w:val="24"/>
      </w:rPr>
    </w:pPr>
    <w:r>
      <w:rPr>
        <w:color w:val="8D9BAF" w:themeColor="text2" w:themeTint="99"/>
        <w:spacing w:val="60"/>
        <w:sz w:val="24"/>
        <w:szCs w:val="24"/>
      </w:rPr>
      <w:t>Page</w:t>
    </w:r>
    <w:r>
      <w:rPr>
        <w:color w:val="8D9BAF" w:themeColor="text2" w:themeTint="99"/>
        <w:sz w:val="24"/>
        <w:szCs w:val="24"/>
      </w:rPr>
      <w:t xml:space="preserve">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PAGE   \* MERGEFORMAT </w:instrText>
    </w:r>
    <w:r>
      <w:rPr>
        <w:color w:val="3A4452" w:themeColor="text2" w:themeShade="BF"/>
        <w:sz w:val="24"/>
        <w:szCs w:val="24"/>
      </w:rPr>
      <w:fldChar w:fldCharType="separate"/>
    </w:r>
    <w:r>
      <w:rPr>
        <w:color w:val="3A4452" w:themeColor="text2" w:themeShade="BF"/>
      </w:rPr>
      <w:t>0</w:t>
    </w:r>
    <w:r>
      <w:rPr>
        <w:color w:val="3A4452" w:themeColor="text2" w:themeShade="BF"/>
        <w:sz w:val="24"/>
        <w:szCs w:val="24"/>
      </w:rPr>
      <w:fldChar w:fldCharType="end"/>
    </w:r>
    <w:r>
      <w:rPr>
        <w:color w:val="3A4452" w:themeColor="text2" w:themeShade="BF"/>
        <w:sz w:val="24"/>
        <w:szCs w:val="24"/>
      </w:rPr>
      <w:t xml:space="preserve"> |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NUMPAGES  \* Arabic  \* MERGEFORMAT </w:instrText>
    </w:r>
    <w:r>
      <w:rPr>
        <w:color w:val="3A4452" w:themeColor="text2" w:themeShade="BF"/>
        <w:sz w:val="24"/>
        <w:szCs w:val="24"/>
      </w:rPr>
      <w:fldChar w:fldCharType="separate"/>
    </w:r>
    <w:r>
      <w:rPr>
        <w:color w:val="3A4452" w:themeColor="text2" w:themeShade="BF"/>
      </w:rPr>
      <w:t>4</w:t>
    </w:r>
    <w:r>
      <w:rPr>
        <w:color w:val="3A4452" w:themeColor="text2" w:themeShade="BF"/>
        <w:sz w:val="24"/>
        <w:szCs w:val="24"/>
      </w:rPr>
      <w:fldChar w:fldCharType="end"/>
    </w:r>
  </w:p>
  <w:p w14:paraId="5804B719" w14:textId="54C17E93" w:rsidR="00185780" w:rsidRPr="00334B1F" w:rsidRDefault="00185780" w:rsidP="00334B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CD090" w14:textId="77777777" w:rsidR="0031296B" w:rsidRDefault="0031296B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D898616" w14:textId="77777777" w:rsidR="0031296B" w:rsidRDefault="0031296B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58BB3" w14:textId="09959393" w:rsidR="000B6953" w:rsidRDefault="000B695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4A4B36B5" wp14:editId="427EA27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116141376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8579098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4DE871E" w14:textId="2000A716" w:rsidR="000B6953" w:rsidRDefault="00FB2E8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BSC AND KPI’S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A4B36B5" id="Rectangle 63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00a0b8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8579098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4DE871E" w14:textId="2000A716" w:rsidR="000B6953" w:rsidRDefault="00FB2E8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BSC AND KPI’S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0E85E" w14:textId="05F26D6D" w:rsidR="008877A3" w:rsidRDefault="008877A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05C9496" wp14:editId="3ABD1BD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99F61A1" w14:textId="09567890" w:rsidR="008877A3" w:rsidRDefault="00FB2E8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BSC AND KPI’S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05C9496" 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" o:allowoverlap="f" fillcolor="#00a0b8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99F61A1" w14:textId="09567890" w:rsidR="008877A3" w:rsidRDefault="00FB2E8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BSC AND KPI’S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1A7001"/>
    <w:multiLevelType w:val="hybridMultilevel"/>
    <w:tmpl w:val="2D12759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23279F"/>
    <w:multiLevelType w:val="hybridMultilevel"/>
    <w:tmpl w:val="5EA0A6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BC46D30"/>
    <w:multiLevelType w:val="hybridMultilevel"/>
    <w:tmpl w:val="65B40012"/>
    <w:lvl w:ilvl="0" w:tplc="64E0593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CF818F2"/>
    <w:multiLevelType w:val="hybridMultilevel"/>
    <w:tmpl w:val="7EE6A39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2A1452A"/>
    <w:multiLevelType w:val="hybridMultilevel"/>
    <w:tmpl w:val="542EF576"/>
    <w:lvl w:ilvl="0" w:tplc="46E42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562267F"/>
    <w:multiLevelType w:val="hybridMultilevel"/>
    <w:tmpl w:val="2D94007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7E57F2"/>
    <w:multiLevelType w:val="hybridMultilevel"/>
    <w:tmpl w:val="3B081F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016A2D"/>
    <w:multiLevelType w:val="hybridMultilevel"/>
    <w:tmpl w:val="3F2044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4048D9"/>
    <w:multiLevelType w:val="hybridMultilevel"/>
    <w:tmpl w:val="CAC0CD6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8423C9"/>
    <w:multiLevelType w:val="multilevel"/>
    <w:tmpl w:val="088AF5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7616816"/>
    <w:multiLevelType w:val="hybridMultilevel"/>
    <w:tmpl w:val="AACCE226"/>
    <w:lvl w:ilvl="0" w:tplc="41B41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551DF5"/>
    <w:multiLevelType w:val="multilevel"/>
    <w:tmpl w:val="B95C8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D477A6"/>
    <w:multiLevelType w:val="multilevel"/>
    <w:tmpl w:val="B95C81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707340DB"/>
    <w:multiLevelType w:val="hybridMultilevel"/>
    <w:tmpl w:val="A7EA26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320A81"/>
    <w:multiLevelType w:val="hybridMultilevel"/>
    <w:tmpl w:val="577A776C"/>
    <w:lvl w:ilvl="0" w:tplc="D89C8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D834EDD"/>
    <w:multiLevelType w:val="multilevel"/>
    <w:tmpl w:val="3B325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9" w15:restartNumberingAfterBreak="0">
    <w:nsid w:val="7F593D5A"/>
    <w:multiLevelType w:val="hybridMultilevel"/>
    <w:tmpl w:val="EBF6CEA2"/>
    <w:lvl w:ilvl="0" w:tplc="E0B86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762CE1"/>
    <w:multiLevelType w:val="hybridMultilevel"/>
    <w:tmpl w:val="EBC6C02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696485">
    <w:abstractNumId w:val="9"/>
  </w:num>
  <w:num w:numId="2" w16cid:durableId="1358584323">
    <w:abstractNumId w:val="8"/>
  </w:num>
  <w:num w:numId="3" w16cid:durableId="893277112">
    <w:abstractNumId w:val="8"/>
  </w:num>
  <w:num w:numId="4" w16cid:durableId="950404769">
    <w:abstractNumId w:val="9"/>
  </w:num>
  <w:num w:numId="5" w16cid:durableId="522864628">
    <w:abstractNumId w:val="21"/>
  </w:num>
  <w:num w:numId="6" w16cid:durableId="1308048975">
    <w:abstractNumId w:val="10"/>
  </w:num>
  <w:num w:numId="7" w16cid:durableId="2097361391">
    <w:abstractNumId w:val="12"/>
  </w:num>
  <w:num w:numId="8" w16cid:durableId="1342048581">
    <w:abstractNumId w:val="7"/>
  </w:num>
  <w:num w:numId="9" w16cid:durableId="955602292">
    <w:abstractNumId w:val="6"/>
  </w:num>
  <w:num w:numId="10" w16cid:durableId="188110886">
    <w:abstractNumId w:val="5"/>
  </w:num>
  <w:num w:numId="11" w16cid:durableId="636879320">
    <w:abstractNumId w:val="4"/>
  </w:num>
  <w:num w:numId="12" w16cid:durableId="2126151274">
    <w:abstractNumId w:val="3"/>
  </w:num>
  <w:num w:numId="13" w16cid:durableId="356154026">
    <w:abstractNumId w:val="2"/>
  </w:num>
  <w:num w:numId="14" w16cid:durableId="1333072676">
    <w:abstractNumId w:val="1"/>
  </w:num>
  <w:num w:numId="15" w16cid:durableId="1660768201">
    <w:abstractNumId w:val="0"/>
  </w:num>
  <w:num w:numId="16" w16cid:durableId="1516920765">
    <w:abstractNumId w:val="18"/>
  </w:num>
  <w:num w:numId="17" w16cid:durableId="1747417132">
    <w:abstractNumId w:val="8"/>
    <w:lvlOverride w:ilvl="0">
      <w:startOverride w:val="1"/>
    </w:lvlOverride>
  </w:num>
  <w:num w:numId="18" w16cid:durableId="579829363">
    <w:abstractNumId w:val="22"/>
  </w:num>
  <w:num w:numId="19" w16cid:durableId="829099797">
    <w:abstractNumId w:val="25"/>
  </w:num>
  <w:num w:numId="20" w16cid:durableId="153955080">
    <w:abstractNumId w:val="24"/>
  </w:num>
  <w:num w:numId="21" w16cid:durableId="760832526">
    <w:abstractNumId w:val="28"/>
  </w:num>
  <w:num w:numId="22" w16cid:durableId="581137676">
    <w:abstractNumId w:val="15"/>
  </w:num>
  <w:num w:numId="23" w16cid:durableId="1876195063">
    <w:abstractNumId w:val="20"/>
  </w:num>
  <w:num w:numId="24" w16cid:durableId="1460799731">
    <w:abstractNumId w:val="13"/>
  </w:num>
  <w:num w:numId="25" w16cid:durableId="1876459104">
    <w:abstractNumId w:val="11"/>
  </w:num>
  <w:num w:numId="26" w16cid:durableId="1680546074">
    <w:abstractNumId w:val="17"/>
  </w:num>
  <w:num w:numId="27" w16cid:durableId="251355985">
    <w:abstractNumId w:val="26"/>
  </w:num>
  <w:num w:numId="28" w16cid:durableId="861361759">
    <w:abstractNumId w:val="14"/>
  </w:num>
  <w:num w:numId="29" w16cid:durableId="1402875586">
    <w:abstractNumId w:val="29"/>
  </w:num>
  <w:num w:numId="30" w16cid:durableId="807671446">
    <w:abstractNumId w:val="27"/>
  </w:num>
  <w:num w:numId="31" w16cid:durableId="1469711171">
    <w:abstractNumId w:val="23"/>
  </w:num>
  <w:num w:numId="32" w16cid:durableId="511071975">
    <w:abstractNumId w:val="16"/>
  </w:num>
  <w:num w:numId="33" w16cid:durableId="745033639">
    <w:abstractNumId w:val="30"/>
  </w:num>
  <w:num w:numId="34" w16cid:durableId="1676734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69"/>
    <w:rsid w:val="0000175A"/>
    <w:rsid w:val="00017ADA"/>
    <w:rsid w:val="00031136"/>
    <w:rsid w:val="00056D00"/>
    <w:rsid w:val="00061DAD"/>
    <w:rsid w:val="00070960"/>
    <w:rsid w:val="0008054E"/>
    <w:rsid w:val="00087F96"/>
    <w:rsid w:val="00095EEE"/>
    <w:rsid w:val="000B6953"/>
    <w:rsid w:val="000E2768"/>
    <w:rsid w:val="00106D8A"/>
    <w:rsid w:val="0011479A"/>
    <w:rsid w:val="00133994"/>
    <w:rsid w:val="00146DAC"/>
    <w:rsid w:val="00185780"/>
    <w:rsid w:val="001A6C65"/>
    <w:rsid w:val="001B0234"/>
    <w:rsid w:val="001C1920"/>
    <w:rsid w:val="001D7B50"/>
    <w:rsid w:val="001E66FF"/>
    <w:rsid w:val="001F38EF"/>
    <w:rsid w:val="001F3D80"/>
    <w:rsid w:val="00204F8E"/>
    <w:rsid w:val="00225E3D"/>
    <w:rsid w:val="002554CD"/>
    <w:rsid w:val="0027107D"/>
    <w:rsid w:val="002834D9"/>
    <w:rsid w:val="00293B83"/>
    <w:rsid w:val="002A1CE2"/>
    <w:rsid w:val="002A1E01"/>
    <w:rsid w:val="002B2746"/>
    <w:rsid w:val="002B4294"/>
    <w:rsid w:val="002C0697"/>
    <w:rsid w:val="002E0238"/>
    <w:rsid w:val="002E72B8"/>
    <w:rsid w:val="002E7BA4"/>
    <w:rsid w:val="0031296B"/>
    <w:rsid w:val="00315A39"/>
    <w:rsid w:val="00322E61"/>
    <w:rsid w:val="00333D0D"/>
    <w:rsid w:val="00334B1F"/>
    <w:rsid w:val="0035482D"/>
    <w:rsid w:val="00380D47"/>
    <w:rsid w:val="0038456E"/>
    <w:rsid w:val="003C128F"/>
    <w:rsid w:val="003E0F2D"/>
    <w:rsid w:val="003E4988"/>
    <w:rsid w:val="003F49DF"/>
    <w:rsid w:val="004032A2"/>
    <w:rsid w:val="00403F0F"/>
    <w:rsid w:val="00426E88"/>
    <w:rsid w:val="00432737"/>
    <w:rsid w:val="00441BFC"/>
    <w:rsid w:val="00483F95"/>
    <w:rsid w:val="004B29BC"/>
    <w:rsid w:val="004C049F"/>
    <w:rsid w:val="004E7A88"/>
    <w:rsid w:val="005000E2"/>
    <w:rsid w:val="00505CEB"/>
    <w:rsid w:val="00534A63"/>
    <w:rsid w:val="00574CE3"/>
    <w:rsid w:val="005A43ED"/>
    <w:rsid w:val="005B5F71"/>
    <w:rsid w:val="00636617"/>
    <w:rsid w:val="00643064"/>
    <w:rsid w:val="006564C0"/>
    <w:rsid w:val="00662A95"/>
    <w:rsid w:val="00683426"/>
    <w:rsid w:val="00683D4C"/>
    <w:rsid w:val="006A39CD"/>
    <w:rsid w:val="006A3CE7"/>
    <w:rsid w:val="006C5787"/>
    <w:rsid w:val="006C6601"/>
    <w:rsid w:val="006D51CA"/>
    <w:rsid w:val="00704905"/>
    <w:rsid w:val="0072467A"/>
    <w:rsid w:val="00742B1D"/>
    <w:rsid w:val="007D5B08"/>
    <w:rsid w:val="007E22DE"/>
    <w:rsid w:val="00803CA6"/>
    <w:rsid w:val="00805139"/>
    <w:rsid w:val="00825CCF"/>
    <w:rsid w:val="008265F1"/>
    <w:rsid w:val="00874BE1"/>
    <w:rsid w:val="008877A3"/>
    <w:rsid w:val="008959B3"/>
    <w:rsid w:val="008A6BD6"/>
    <w:rsid w:val="008B1DDE"/>
    <w:rsid w:val="008C6480"/>
    <w:rsid w:val="008E50B9"/>
    <w:rsid w:val="008E6EF3"/>
    <w:rsid w:val="009421BA"/>
    <w:rsid w:val="00956A9A"/>
    <w:rsid w:val="009A44EF"/>
    <w:rsid w:val="009D03E1"/>
    <w:rsid w:val="00A039D0"/>
    <w:rsid w:val="00A1160B"/>
    <w:rsid w:val="00A135B4"/>
    <w:rsid w:val="00A21EF5"/>
    <w:rsid w:val="00A26813"/>
    <w:rsid w:val="00A30EE2"/>
    <w:rsid w:val="00A36547"/>
    <w:rsid w:val="00A371FA"/>
    <w:rsid w:val="00A46D97"/>
    <w:rsid w:val="00AA2A7B"/>
    <w:rsid w:val="00AD696F"/>
    <w:rsid w:val="00B26B90"/>
    <w:rsid w:val="00B3216A"/>
    <w:rsid w:val="00B35D90"/>
    <w:rsid w:val="00B578F4"/>
    <w:rsid w:val="00B762D4"/>
    <w:rsid w:val="00BD1C2B"/>
    <w:rsid w:val="00BD608A"/>
    <w:rsid w:val="00BE1667"/>
    <w:rsid w:val="00C06C5F"/>
    <w:rsid w:val="00C1093B"/>
    <w:rsid w:val="00C14889"/>
    <w:rsid w:val="00C14E03"/>
    <w:rsid w:val="00C35C46"/>
    <w:rsid w:val="00C64470"/>
    <w:rsid w:val="00C64CBC"/>
    <w:rsid w:val="00C64F18"/>
    <w:rsid w:val="00C6554A"/>
    <w:rsid w:val="00CD507F"/>
    <w:rsid w:val="00CF1765"/>
    <w:rsid w:val="00D067C4"/>
    <w:rsid w:val="00D1608C"/>
    <w:rsid w:val="00D32C26"/>
    <w:rsid w:val="00D53164"/>
    <w:rsid w:val="00D76013"/>
    <w:rsid w:val="00D9767A"/>
    <w:rsid w:val="00DA3058"/>
    <w:rsid w:val="00DB1276"/>
    <w:rsid w:val="00DE548C"/>
    <w:rsid w:val="00E002DC"/>
    <w:rsid w:val="00E07AFA"/>
    <w:rsid w:val="00E36E18"/>
    <w:rsid w:val="00E44B29"/>
    <w:rsid w:val="00E45B32"/>
    <w:rsid w:val="00E768C9"/>
    <w:rsid w:val="00E952A3"/>
    <w:rsid w:val="00EA3430"/>
    <w:rsid w:val="00ED7C44"/>
    <w:rsid w:val="00EF06E8"/>
    <w:rsid w:val="00F1007C"/>
    <w:rsid w:val="00F17256"/>
    <w:rsid w:val="00F30E51"/>
    <w:rsid w:val="00FA2BB0"/>
    <w:rsid w:val="00FB01D5"/>
    <w:rsid w:val="00FB2E84"/>
    <w:rsid w:val="00FC7085"/>
    <w:rsid w:val="00FD0769"/>
    <w:rsid w:val="00FD7E42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F0287"/>
  <w15:chartTrackingRefBased/>
  <w15:docId w15:val="{260226B9-0B86-4C4B-9AFB-74CBB48E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FD0769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D076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D0769"/>
    <w:pPr>
      <w:spacing w:after="100"/>
    </w:pPr>
  </w:style>
  <w:style w:type="paragraph" w:styleId="ListParagraph">
    <w:name w:val="List Paragraph"/>
    <w:basedOn w:val="Normal"/>
    <w:uiPriority w:val="34"/>
    <w:unhideWhenUsed/>
    <w:qFormat/>
    <w:rsid w:val="004E7A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1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FB01D5"/>
    <w:rPr>
      <w:b/>
      <w:bCs/>
    </w:rPr>
  </w:style>
  <w:style w:type="character" w:styleId="Emphasis">
    <w:name w:val="Emphasis"/>
    <w:basedOn w:val="DefaultParagraphFont"/>
    <w:uiPriority w:val="20"/>
    <w:qFormat/>
    <w:rsid w:val="00FB01D5"/>
    <w:rPr>
      <w:i/>
      <w:iCs/>
    </w:rPr>
  </w:style>
  <w:style w:type="character" w:customStyle="1" w:styleId="url">
    <w:name w:val="url"/>
    <w:basedOn w:val="DefaultParagraphFont"/>
    <w:rsid w:val="00106D8A"/>
  </w:style>
  <w:style w:type="character" w:styleId="UnresolvedMention">
    <w:name w:val="Unresolved Mention"/>
    <w:basedOn w:val="DefaultParagraphFont"/>
    <w:uiPriority w:val="99"/>
    <w:semiHidden/>
    <w:unhideWhenUsed/>
    <w:rsid w:val="00106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6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0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5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1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869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14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9964B42DD38B43BE9FFED3B9E2101C" ma:contentTypeVersion="11" ma:contentTypeDescription="Create a new document." ma:contentTypeScope="" ma:versionID="51e674531f02aea23cf2c311c9d779a3">
  <xsd:schema xmlns:xsd="http://www.w3.org/2001/XMLSchema" xmlns:xs="http://www.w3.org/2001/XMLSchema" xmlns:p="http://schemas.microsoft.com/office/2006/metadata/properties" xmlns:ns3="e36a5670-a890-45fd-9af6-24ac7bbcfdac" xmlns:ns4="88bceb2d-55df-4e3b-993c-5c354c3176e6" targetNamespace="http://schemas.microsoft.com/office/2006/metadata/properties" ma:root="true" ma:fieldsID="3254657f31ba792c6fb1538ba9d9436f" ns3:_="" ns4:_="">
    <xsd:import namespace="e36a5670-a890-45fd-9af6-24ac7bbcfdac"/>
    <xsd:import namespace="88bceb2d-55df-4e3b-993c-5c354c3176e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a5670-a890-45fd-9af6-24ac7bbcfd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ceb2d-55df-4e3b-993c-5c354c3176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45FEB-1EFC-4FAC-BFF6-D6D5CD6343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6a5670-a890-45fd-9af6-24ac7bbcfdac"/>
    <ds:schemaRef ds:uri="88bceb2d-55df-4e3b-993c-5c354c3176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6EBCAE-0945-4CCE-981E-CD9FB41113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923A24-4E31-4413-B259-AD023E0F9B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4228269-BF98-4F40-B866-0B6DEB8D5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159</TotalTime>
  <Pages>7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BSC AND KPI’S</dc:title>
  <dc:subject/>
  <dc:creator>Matt</dc:creator>
  <cp:keywords/>
  <dc:description/>
  <cp:lastModifiedBy>Elaine Candido da Silva</cp:lastModifiedBy>
  <cp:revision>125</cp:revision>
  <dcterms:created xsi:type="dcterms:W3CDTF">2024-01-11T21:40:00Z</dcterms:created>
  <dcterms:modified xsi:type="dcterms:W3CDTF">2024-03-25T22:59:00Z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0x010100539964B42DD38B43BE9FFED3B9E2101C</vt:lpwstr>
  </property>
</Properties>
</file>