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93B6" w14:textId="77777777" w:rsidR="007918EE" w:rsidRDefault="007918EE" w:rsidP="007918EE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48"/>
          <w:szCs w:val="48"/>
          <w:lang w:eastAsia="en-CA"/>
          <w14:ligatures w14:val="none"/>
        </w:rPr>
      </w:pPr>
    </w:p>
    <w:p w14:paraId="729F090A" w14:textId="77777777" w:rsidR="007918EE" w:rsidRDefault="007918EE" w:rsidP="007918EE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48"/>
          <w:szCs w:val="48"/>
          <w:lang w:eastAsia="en-CA"/>
          <w14:ligatures w14:val="none"/>
        </w:rPr>
      </w:pPr>
    </w:p>
    <w:p w14:paraId="52894AE8" w14:textId="07A57C52" w:rsidR="007918EE" w:rsidRPr="007918EE" w:rsidRDefault="007918EE" w:rsidP="007918EE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48"/>
          <w:szCs w:val="48"/>
          <w:lang w:eastAsia="en-CA"/>
          <w14:ligatures w14:val="none"/>
        </w:rPr>
      </w:pPr>
      <w:r w:rsidRPr="007918EE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48"/>
          <w:szCs w:val="48"/>
          <w:lang w:eastAsia="en-CA"/>
          <w14:ligatures w14:val="none"/>
        </w:rPr>
        <w:t>Estimating and Prioritizing Business Analysis Tasks</w:t>
      </w:r>
    </w:p>
    <w:p w14:paraId="347BD214" w14:textId="77777777" w:rsidR="004967B7" w:rsidRDefault="004967B7" w:rsidP="004967B7">
      <w:pPr>
        <w:ind w:left="720" w:hanging="360"/>
      </w:pPr>
    </w:p>
    <w:p w14:paraId="27684F1D" w14:textId="77777777" w:rsidR="004967B7" w:rsidRPr="00625D7A" w:rsidRDefault="004967B7" w:rsidP="004967B7">
      <w:pPr>
        <w:jc w:val="center"/>
        <w:rPr>
          <w:rFonts w:cstheme="minorHAnsi"/>
          <w:b/>
          <w:bCs/>
          <w:sz w:val="44"/>
          <w:szCs w:val="44"/>
        </w:rPr>
      </w:pPr>
      <w:r w:rsidRPr="00625D7A">
        <w:rPr>
          <w:rFonts w:cstheme="minorHAnsi"/>
          <w:b/>
          <w:bCs/>
          <w:sz w:val="44"/>
          <w:szCs w:val="44"/>
        </w:rPr>
        <w:t>WORKPLACE DRUG ABUSE</w:t>
      </w:r>
    </w:p>
    <w:p w14:paraId="67AFE2AD" w14:textId="77777777" w:rsidR="004967B7" w:rsidRPr="00F852A8" w:rsidRDefault="004967B7" w:rsidP="004967B7">
      <w:pPr>
        <w:rPr>
          <w:rFonts w:cstheme="minorHAnsi"/>
        </w:rPr>
      </w:pPr>
    </w:p>
    <w:p w14:paraId="6197EA33" w14:textId="77777777" w:rsidR="004967B7" w:rsidRPr="00F852A8" w:rsidRDefault="004967B7" w:rsidP="004967B7">
      <w:pPr>
        <w:rPr>
          <w:rFonts w:cstheme="minorHAnsi"/>
        </w:rPr>
      </w:pPr>
    </w:p>
    <w:p w14:paraId="1C00A130" w14:textId="77777777" w:rsidR="004967B7" w:rsidRPr="00F852A8" w:rsidRDefault="004967B7" w:rsidP="004967B7">
      <w:pPr>
        <w:rPr>
          <w:rFonts w:cstheme="minorHAnsi"/>
        </w:rPr>
      </w:pPr>
    </w:p>
    <w:p w14:paraId="5F346F2D" w14:textId="77777777" w:rsidR="004967B7" w:rsidRPr="00F852A8" w:rsidRDefault="004967B7" w:rsidP="004967B7">
      <w:pPr>
        <w:rPr>
          <w:rFonts w:cstheme="minorHAnsi"/>
        </w:rPr>
      </w:pPr>
    </w:p>
    <w:p w14:paraId="7999E8C9" w14:textId="77777777" w:rsidR="004967B7" w:rsidRPr="00F852A8" w:rsidRDefault="004967B7" w:rsidP="004967B7">
      <w:pPr>
        <w:rPr>
          <w:rFonts w:cstheme="minorHAnsi"/>
        </w:rPr>
      </w:pPr>
    </w:p>
    <w:p w14:paraId="20846640" w14:textId="77777777" w:rsidR="004967B7" w:rsidRPr="00F852A8" w:rsidRDefault="004967B7" w:rsidP="004967B7">
      <w:pPr>
        <w:jc w:val="center"/>
        <w:rPr>
          <w:rFonts w:cstheme="minorHAnsi"/>
        </w:rPr>
      </w:pPr>
      <w:r w:rsidRPr="00F852A8">
        <w:rPr>
          <w:rFonts w:cstheme="minorHAnsi"/>
        </w:rPr>
        <w:t>Students:</w:t>
      </w:r>
    </w:p>
    <w:p w14:paraId="12536937" w14:textId="799C2CA7" w:rsidR="004967B7" w:rsidRPr="00F852A8" w:rsidRDefault="004967B7" w:rsidP="004967B7">
      <w:pPr>
        <w:jc w:val="center"/>
        <w:rPr>
          <w:rFonts w:cstheme="minorHAnsi"/>
        </w:rPr>
      </w:pPr>
      <w:r w:rsidRPr="00F852A8">
        <w:rPr>
          <w:rFonts w:cstheme="minorHAnsi"/>
        </w:rPr>
        <w:t>Astrid Acosta</w:t>
      </w:r>
      <w:r w:rsidR="007918EE">
        <w:rPr>
          <w:rFonts w:cstheme="minorHAnsi"/>
        </w:rPr>
        <w:t xml:space="preserve"> Hernandez</w:t>
      </w:r>
    </w:p>
    <w:p w14:paraId="24F80CCB" w14:textId="77777777" w:rsidR="004967B7" w:rsidRPr="00FF487D" w:rsidRDefault="004967B7" w:rsidP="004967B7">
      <w:pPr>
        <w:jc w:val="center"/>
        <w:rPr>
          <w:rFonts w:cstheme="minorHAnsi"/>
          <w:lang w:val="pt-BR"/>
        </w:rPr>
      </w:pPr>
      <w:r w:rsidRPr="00FF487D">
        <w:rPr>
          <w:rFonts w:cstheme="minorHAnsi"/>
          <w:lang w:val="pt-BR"/>
        </w:rPr>
        <w:t>Elaine Da Silva</w:t>
      </w:r>
    </w:p>
    <w:p w14:paraId="5B0F88DC" w14:textId="77777777" w:rsidR="004967B7" w:rsidRPr="00FF487D" w:rsidRDefault="004967B7" w:rsidP="004967B7">
      <w:pPr>
        <w:jc w:val="center"/>
        <w:rPr>
          <w:rFonts w:cstheme="minorHAnsi"/>
          <w:lang w:val="pt-BR"/>
        </w:rPr>
      </w:pPr>
      <w:r w:rsidRPr="00FF487D">
        <w:rPr>
          <w:rFonts w:cstheme="minorHAnsi"/>
          <w:lang w:val="pt-BR"/>
        </w:rPr>
        <w:t>Ekaterina Chistiakova</w:t>
      </w:r>
    </w:p>
    <w:p w14:paraId="7E0233D7" w14:textId="77777777" w:rsidR="004967B7" w:rsidRPr="00FF487D" w:rsidRDefault="004967B7" w:rsidP="004967B7">
      <w:pPr>
        <w:jc w:val="center"/>
        <w:rPr>
          <w:rFonts w:cstheme="minorHAnsi"/>
          <w:lang w:val="pt-BR"/>
        </w:rPr>
      </w:pPr>
      <w:r w:rsidRPr="00FF487D">
        <w:rPr>
          <w:rFonts w:cstheme="minorHAnsi"/>
          <w:lang w:val="pt-BR"/>
        </w:rPr>
        <w:t>Junwoo Kim</w:t>
      </w:r>
    </w:p>
    <w:p w14:paraId="358BA9BB" w14:textId="77777777" w:rsidR="004967B7" w:rsidRPr="00F852A8" w:rsidRDefault="004967B7" w:rsidP="004967B7">
      <w:pPr>
        <w:jc w:val="center"/>
        <w:rPr>
          <w:rFonts w:cstheme="minorHAnsi"/>
        </w:rPr>
      </w:pPr>
      <w:r w:rsidRPr="00F852A8">
        <w:rPr>
          <w:rFonts w:cstheme="minorHAnsi"/>
        </w:rPr>
        <w:t>Yuliana Puspitosari</w:t>
      </w:r>
    </w:p>
    <w:p w14:paraId="00B595BB" w14:textId="77777777" w:rsidR="004967B7" w:rsidRDefault="004967B7" w:rsidP="004967B7">
      <w:pPr>
        <w:pStyle w:val="ListParagraph"/>
        <w:rPr>
          <w:rFonts w:cstheme="minorHAnsi"/>
        </w:rPr>
      </w:pPr>
    </w:p>
    <w:p w14:paraId="7A5CE441" w14:textId="77777777" w:rsidR="004967B7" w:rsidRDefault="004967B7" w:rsidP="004967B7">
      <w:pPr>
        <w:pStyle w:val="ListParagraph"/>
        <w:rPr>
          <w:rFonts w:cstheme="minorHAnsi"/>
        </w:rPr>
      </w:pPr>
    </w:p>
    <w:p w14:paraId="138C6A06" w14:textId="77777777" w:rsidR="004967B7" w:rsidRDefault="004967B7" w:rsidP="004967B7">
      <w:pPr>
        <w:pStyle w:val="ListParagraph"/>
        <w:rPr>
          <w:rFonts w:cstheme="minorHAnsi"/>
        </w:rPr>
      </w:pPr>
    </w:p>
    <w:p w14:paraId="0E985ED5" w14:textId="77777777" w:rsidR="004967B7" w:rsidRDefault="004967B7" w:rsidP="004967B7">
      <w:pPr>
        <w:pStyle w:val="ListParagraph"/>
        <w:rPr>
          <w:rFonts w:cstheme="minorHAnsi"/>
        </w:rPr>
      </w:pPr>
    </w:p>
    <w:p w14:paraId="32850D33" w14:textId="77777777" w:rsidR="004967B7" w:rsidRDefault="004967B7" w:rsidP="004967B7">
      <w:pPr>
        <w:pStyle w:val="ListParagraph"/>
        <w:rPr>
          <w:rFonts w:cstheme="minorHAnsi"/>
        </w:rPr>
      </w:pPr>
    </w:p>
    <w:p w14:paraId="14C0FDC8" w14:textId="77777777" w:rsidR="004967B7" w:rsidRDefault="004967B7" w:rsidP="004967B7">
      <w:pPr>
        <w:pStyle w:val="ListParagraph"/>
        <w:rPr>
          <w:rFonts w:cstheme="minorHAnsi"/>
        </w:rPr>
      </w:pPr>
    </w:p>
    <w:p w14:paraId="5741F858" w14:textId="77777777" w:rsidR="004967B7" w:rsidRDefault="004967B7" w:rsidP="004967B7">
      <w:pPr>
        <w:pStyle w:val="ListParagraph"/>
        <w:rPr>
          <w:rFonts w:cstheme="minorHAnsi"/>
        </w:rPr>
      </w:pPr>
    </w:p>
    <w:p w14:paraId="10287062" w14:textId="77777777" w:rsidR="004967B7" w:rsidRDefault="004967B7" w:rsidP="004967B7">
      <w:pPr>
        <w:pStyle w:val="ListParagraph"/>
        <w:rPr>
          <w:rFonts w:cstheme="minorHAnsi"/>
        </w:rPr>
      </w:pPr>
    </w:p>
    <w:p w14:paraId="1FA6121F" w14:textId="77777777" w:rsidR="004967B7" w:rsidRDefault="004967B7" w:rsidP="004967B7">
      <w:pPr>
        <w:pStyle w:val="ListParagraph"/>
        <w:rPr>
          <w:rFonts w:cstheme="minorHAnsi"/>
        </w:rPr>
      </w:pPr>
    </w:p>
    <w:p w14:paraId="671A33FC" w14:textId="77777777" w:rsidR="004967B7" w:rsidRDefault="004967B7" w:rsidP="004967B7">
      <w:pPr>
        <w:pStyle w:val="ListParagraph"/>
        <w:rPr>
          <w:rFonts w:cstheme="minorHAnsi"/>
        </w:rPr>
      </w:pPr>
    </w:p>
    <w:p w14:paraId="5A4A6183" w14:textId="77777777" w:rsidR="004967B7" w:rsidRDefault="004967B7" w:rsidP="004967B7">
      <w:pPr>
        <w:pStyle w:val="ListParagraph"/>
        <w:rPr>
          <w:rFonts w:cstheme="minorHAnsi"/>
        </w:rPr>
      </w:pPr>
    </w:p>
    <w:p w14:paraId="76D8927D" w14:textId="77777777" w:rsidR="004967B7" w:rsidRDefault="004967B7" w:rsidP="004967B7">
      <w:pPr>
        <w:pStyle w:val="ListParagraph"/>
        <w:rPr>
          <w:rFonts w:cstheme="minorHAnsi"/>
        </w:rPr>
      </w:pPr>
    </w:p>
    <w:p w14:paraId="4DCBE393" w14:textId="77777777" w:rsidR="004967B7" w:rsidRDefault="004967B7" w:rsidP="004967B7">
      <w:pPr>
        <w:pStyle w:val="ListParagraph"/>
        <w:rPr>
          <w:rFonts w:cstheme="minorHAnsi"/>
        </w:rPr>
      </w:pPr>
    </w:p>
    <w:p w14:paraId="1CEB132A" w14:textId="77777777" w:rsidR="004967B7" w:rsidRDefault="004967B7" w:rsidP="004967B7">
      <w:pPr>
        <w:pStyle w:val="ListParagraph"/>
        <w:rPr>
          <w:rFonts w:cstheme="minorHAnsi"/>
        </w:rPr>
      </w:pPr>
    </w:p>
    <w:p w14:paraId="150C1CF3" w14:textId="77777777" w:rsidR="004967B7" w:rsidRPr="007918EE" w:rsidRDefault="004967B7" w:rsidP="007918EE">
      <w:pPr>
        <w:rPr>
          <w:rFonts w:cstheme="minorHAnsi"/>
        </w:rPr>
      </w:pPr>
    </w:p>
    <w:p w14:paraId="3F115560" w14:textId="2D4D11EE" w:rsidR="00596E1F" w:rsidRDefault="004967B7" w:rsidP="002C73E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4967B7">
        <w:rPr>
          <w:rFonts w:cstheme="minorHAnsi"/>
        </w:rPr>
        <w:lastRenderedPageBreak/>
        <w:t>Introduction</w:t>
      </w:r>
    </w:p>
    <w:p w14:paraId="232F4F42" w14:textId="2963D8D6" w:rsidR="004967B7" w:rsidRPr="004967B7" w:rsidRDefault="00213A77" w:rsidP="002C73EB">
      <w:pPr>
        <w:pStyle w:val="ListParagraph"/>
        <w:spacing w:line="360" w:lineRule="auto"/>
        <w:rPr>
          <w:rFonts w:cstheme="minorHAnsi"/>
        </w:rPr>
      </w:pPr>
      <w:r>
        <w:rPr>
          <w:rStyle w:val="ui-provider"/>
        </w:rPr>
        <w:t xml:space="preserve">Addressing employee drug abuse in the workplace is a challenging reality that managers may unexpectedly face. </w:t>
      </w:r>
      <w:r w:rsidR="007918EE">
        <w:rPr>
          <w:rFonts w:cstheme="minorHAnsi"/>
        </w:rPr>
        <w:t>In our l</w:t>
      </w:r>
      <w:r>
        <w:rPr>
          <w:rFonts w:cstheme="minorHAnsi"/>
        </w:rPr>
        <w:t xml:space="preserve">ast scenario we have a situation where an employee had a drug addiction which affected their work productivity, and she was fired by the company. </w:t>
      </w:r>
      <w:r>
        <w:rPr>
          <w:rStyle w:val="ui-provider"/>
        </w:rPr>
        <w:t xml:space="preserve">This incident underscores the importance of a proactive and targeted strategy when addressing employee issues related to substance abuse in the workplace. From this incident we learn </w:t>
      </w:r>
      <w:r w:rsidR="007918EE">
        <w:rPr>
          <w:rStyle w:val="ui-provider"/>
        </w:rPr>
        <w:t xml:space="preserve">about </w:t>
      </w:r>
      <w:r>
        <w:rPr>
          <w:rStyle w:val="ui-provider"/>
        </w:rPr>
        <w:t>how important it is to prioritize the tasks in order to maintain the company productivity and also worker’s well-being</w:t>
      </w:r>
      <w:r w:rsidR="007918EE">
        <w:rPr>
          <w:rStyle w:val="ui-provider"/>
        </w:rPr>
        <w:t>. Worker’s well-being in this case will indirectly affect the company profit and productivity.</w:t>
      </w:r>
    </w:p>
    <w:p w14:paraId="4B7F478F" w14:textId="45EA3043" w:rsidR="004967B7" w:rsidRDefault="004967B7" w:rsidP="002C73E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4967B7">
        <w:rPr>
          <w:rFonts w:cstheme="minorHAnsi"/>
        </w:rPr>
        <w:t>Estimation technique</w:t>
      </w:r>
    </w:p>
    <w:p w14:paraId="142FCADD" w14:textId="3D796991" w:rsidR="002C73EB" w:rsidRDefault="002C73EB" w:rsidP="00A876A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In this scenario, Delphi technique would be more suitable. </w:t>
      </w:r>
      <w:r w:rsidRPr="002C73EB">
        <w:rPr>
          <w:rFonts w:cstheme="minorHAnsi"/>
        </w:rPr>
        <w:t>The Delphi Technique is particularly beneficial when dealing with sensitive issues like employee problems, as it allows for candid input while maintaining anonymity. It fosters a collaborative and informed decision-making process, aligning well with the nuanced and multifaceted nature of the scenario described.</w:t>
      </w:r>
    </w:p>
    <w:p w14:paraId="5EA5C6D3" w14:textId="05955752" w:rsidR="002107E0" w:rsidRDefault="002107E0" w:rsidP="00A876A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Task: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88"/>
        <w:gridCol w:w="2350"/>
        <w:gridCol w:w="2204"/>
        <w:gridCol w:w="2204"/>
      </w:tblGrid>
      <w:tr w:rsidR="00A9373B" w14:paraId="3FC8A556" w14:textId="519A14B0" w:rsidTr="00A9373B">
        <w:tc>
          <w:tcPr>
            <w:tcW w:w="1888" w:type="dxa"/>
          </w:tcPr>
          <w:p w14:paraId="649C6B9B" w14:textId="2778F624" w:rsidR="00A9373B" w:rsidRDefault="00A9373B" w:rsidP="00A9373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TASKS</w:t>
            </w:r>
          </w:p>
        </w:tc>
        <w:tc>
          <w:tcPr>
            <w:tcW w:w="2350" w:type="dxa"/>
          </w:tcPr>
          <w:p w14:paraId="5FD91709" w14:textId="78024E0F" w:rsidR="00A9373B" w:rsidRDefault="00A9373B" w:rsidP="00A9373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COST</w:t>
            </w:r>
          </w:p>
        </w:tc>
        <w:tc>
          <w:tcPr>
            <w:tcW w:w="2204" w:type="dxa"/>
          </w:tcPr>
          <w:p w14:paraId="2655AC88" w14:textId="0C64B47B" w:rsidR="00A9373B" w:rsidRDefault="00A9373B" w:rsidP="00A9373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2204" w:type="dxa"/>
          </w:tcPr>
          <w:p w14:paraId="1F1877DC" w14:textId="7A42E30C" w:rsidR="00A9373B" w:rsidRDefault="00A9373B" w:rsidP="00A9373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</w:p>
        </w:tc>
      </w:tr>
      <w:tr w:rsidR="00A9373B" w14:paraId="342330F1" w14:textId="08BAF72F" w:rsidTr="00A9373B">
        <w:tc>
          <w:tcPr>
            <w:tcW w:w="1888" w:type="dxa"/>
          </w:tcPr>
          <w:p w14:paraId="0F7BBC79" w14:textId="134202A3" w:rsidR="00A9373B" w:rsidRDefault="00A9373B" w:rsidP="00A9373B">
            <w:pPr>
              <w:spacing w:line="360" w:lineRule="auto"/>
              <w:rPr>
                <w:rFonts w:cstheme="minorHAnsi"/>
              </w:rPr>
            </w:pPr>
            <w:r>
              <w:rPr>
                <w:rStyle w:val="Strong"/>
              </w:rPr>
              <w:t>Initial Assessment and Gathering Information</w:t>
            </w:r>
          </w:p>
        </w:tc>
        <w:tc>
          <w:tcPr>
            <w:tcW w:w="2350" w:type="dxa"/>
          </w:tcPr>
          <w:p w14:paraId="18FA1479" w14:textId="498C25B4" w:rsidR="00A9373B" w:rsidRDefault="003C04ED" w:rsidP="00A9373B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Depending on the expertise and duration of engagement, estimate a budget range of $10,000 - $30,000.</w:t>
            </w:r>
          </w:p>
        </w:tc>
        <w:tc>
          <w:tcPr>
            <w:tcW w:w="2204" w:type="dxa"/>
          </w:tcPr>
          <w:p w14:paraId="4CF0275E" w14:textId="153C55DD" w:rsidR="00A9373B" w:rsidRDefault="00A9373B" w:rsidP="00A9373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 week</w:t>
            </w:r>
          </w:p>
        </w:tc>
        <w:tc>
          <w:tcPr>
            <w:tcW w:w="2204" w:type="dxa"/>
          </w:tcPr>
          <w:p w14:paraId="07A98BC3" w14:textId="6AEAA04E" w:rsidR="00A9373B" w:rsidRDefault="003C04ED" w:rsidP="00A9373B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2-3 external specialists (psychologists, addiction counselors)</w:t>
            </w:r>
          </w:p>
        </w:tc>
      </w:tr>
      <w:tr w:rsidR="00A9373B" w14:paraId="4B01877E" w14:textId="77777777" w:rsidTr="00A9373B">
        <w:tc>
          <w:tcPr>
            <w:tcW w:w="1888" w:type="dxa"/>
          </w:tcPr>
          <w:p w14:paraId="09449A12" w14:textId="23786138" w:rsidR="00A9373B" w:rsidRDefault="00A9373B" w:rsidP="00A9373B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Assembling the Cross-Functional team</w:t>
            </w:r>
          </w:p>
        </w:tc>
        <w:tc>
          <w:tcPr>
            <w:tcW w:w="2350" w:type="dxa"/>
          </w:tcPr>
          <w:p w14:paraId="27D74D9A" w14:textId="4F5958C0" w:rsidR="00A9373B" w:rsidRDefault="003C04ED" w:rsidP="00A9373B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Consider existing salaries; minimal additional budget required.</w:t>
            </w:r>
          </w:p>
        </w:tc>
        <w:tc>
          <w:tcPr>
            <w:tcW w:w="2204" w:type="dxa"/>
          </w:tcPr>
          <w:p w14:paraId="09C8D51B" w14:textId="2F4791D3" w:rsidR="00A9373B" w:rsidRDefault="00A9373B" w:rsidP="00A9373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1-2 weeks</w:t>
            </w:r>
          </w:p>
        </w:tc>
        <w:tc>
          <w:tcPr>
            <w:tcW w:w="2204" w:type="dxa"/>
          </w:tcPr>
          <w:p w14:paraId="78A41D36" w14:textId="629B20C7" w:rsidR="00A9373B" w:rsidRDefault="003C04ED" w:rsidP="00A9373B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5-7 internal team members (HR professionals, psychologists, legal advisors)</w:t>
            </w:r>
          </w:p>
        </w:tc>
      </w:tr>
      <w:tr w:rsidR="003C04ED" w14:paraId="153E6740" w14:textId="77777777" w:rsidTr="00A9373B">
        <w:tc>
          <w:tcPr>
            <w:tcW w:w="1888" w:type="dxa"/>
          </w:tcPr>
          <w:p w14:paraId="690C9718" w14:textId="03CBE568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Engaging external specialists</w:t>
            </w:r>
          </w:p>
        </w:tc>
        <w:tc>
          <w:tcPr>
            <w:tcW w:w="2350" w:type="dxa"/>
          </w:tcPr>
          <w:p w14:paraId="230D5F3E" w14:textId="176B2C01" w:rsidR="003C04ED" w:rsidRDefault="0039475A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 xml:space="preserve">Depending on the expertise and duration of engagement, estimate a budget </w:t>
            </w:r>
            <w:r>
              <w:rPr>
                <w:rStyle w:val="ui-provider"/>
              </w:rPr>
              <w:lastRenderedPageBreak/>
              <w:t>range of $10,000 - $30,000.</w:t>
            </w:r>
          </w:p>
        </w:tc>
        <w:tc>
          <w:tcPr>
            <w:tcW w:w="2204" w:type="dxa"/>
          </w:tcPr>
          <w:p w14:paraId="530B9A19" w14:textId="0400B1B9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2-4 weeks</w:t>
            </w:r>
          </w:p>
        </w:tc>
        <w:tc>
          <w:tcPr>
            <w:tcW w:w="2204" w:type="dxa"/>
          </w:tcPr>
          <w:p w14:paraId="7F23A358" w14:textId="4AFFC716" w:rsidR="003C04ED" w:rsidRDefault="0039475A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2-3 external specialists (psychologists, addiction counselors)</w:t>
            </w:r>
          </w:p>
        </w:tc>
      </w:tr>
      <w:tr w:rsidR="003C04ED" w14:paraId="28F71417" w14:textId="77777777" w:rsidTr="00A9373B">
        <w:tc>
          <w:tcPr>
            <w:tcW w:w="1888" w:type="dxa"/>
          </w:tcPr>
          <w:p w14:paraId="0E71F598" w14:textId="1D6ECDBB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Thorough investigation</w:t>
            </w:r>
          </w:p>
        </w:tc>
        <w:tc>
          <w:tcPr>
            <w:tcW w:w="2350" w:type="dxa"/>
          </w:tcPr>
          <w:p w14:paraId="44E76F1B" w14:textId="77777777" w:rsidR="003C04ED" w:rsidRDefault="003C04ED" w:rsidP="003C04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204" w:type="dxa"/>
          </w:tcPr>
          <w:p w14:paraId="7D9E430F" w14:textId="094588E4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2-4 weeks</w:t>
            </w:r>
          </w:p>
        </w:tc>
        <w:tc>
          <w:tcPr>
            <w:tcW w:w="2204" w:type="dxa"/>
          </w:tcPr>
          <w:p w14:paraId="3B7F9800" w14:textId="77777777" w:rsidR="003C04ED" w:rsidRDefault="003C04ED" w:rsidP="003C04ED">
            <w:pPr>
              <w:spacing w:line="360" w:lineRule="auto"/>
              <w:rPr>
                <w:rFonts w:cstheme="minorHAnsi"/>
              </w:rPr>
            </w:pPr>
          </w:p>
        </w:tc>
      </w:tr>
      <w:tr w:rsidR="003C04ED" w14:paraId="2859D10F" w14:textId="77777777" w:rsidTr="00A9373B">
        <w:tc>
          <w:tcPr>
            <w:tcW w:w="1888" w:type="dxa"/>
          </w:tcPr>
          <w:p w14:paraId="6E43F98A" w14:textId="57CBF458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Policy development and communication</w:t>
            </w:r>
          </w:p>
        </w:tc>
        <w:tc>
          <w:tcPr>
            <w:tcW w:w="2350" w:type="dxa"/>
          </w:tcPr>
          <w:p w14:paraId="40C91938" w14:textId="40EE24CA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Allocate a budget for communication materials, workshops, and training. Estimated range: $5,000 - $15,000.</w:t>
            </w:r>
          </w:p>
        </w:tc>
        <w:tc>
          <w:tcPr>
            <w:tcW w:w="2204" w:type="dxa"/>
          </w:tcPr>
          <w:p w14:paraId="7DD95D5F" w14:textId="7D49FE2B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4-6 weeks</w:t>
            </w:r>
          </w:p>
        </w:tc>
        <w:tc>
          <w:tcPr>
            <w:tcW w:w="2204" w:type="dxa"/>
          </w:tcPr>
          <w:p w14:paraId="16DFF229" w14:textId="2DFB7FD8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HR specialists, legal advisors, communication experts</w:t>
            </w:r>
          </w:p>
        </w:tc>
      </w:tr>
      <w:tr w:rsidR="003C04ED" w14:paraId="621F5D4E" w14:textId="77777777" w:rsidTr="00A9373B">
        <w:tc>
          <w:tcPr>
            <w:tcW w:w="1888" w:type="dxa"/>
          </w:tcPr>
          <w:p w14:paraId="59CFA2E2" w14:textId="656E3A93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Budget allocation</w:t>
            </w:r>
          </w:p>
        </w:tc>
        <w:tc>
          <w:tcPr>
            <w:tcW w:w="2350" w:type="dxa"/>
          </w:tcPr>
          <w:p w14:paraId="0DA891F2" w14:textId="2C9E958F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Allocate a budget for employee assistance programs, counseling services, and educational programs. Estimated range: $15,000 - $30,000.</w:t>
            </w:r>
          </w:p>
        </w:tc>
        <w:tc>
          <w:tcPr>
            <w:tcW w:w="2204" w:type="dxa"/>
          </w:tcPr>
          <w:p w14:paraId="16F39C3A" w14:textId="2411A1C2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1-2 weeks</w:t>
            </w:r>
          </w:p>
        </w:tc>
        <w:tc>
          <w:tcPr>
            <w:tcW w:w="2204" w:type="dxa"/>
          </w:tcPr>
          <w:p w14:paraId="1ABD1019" w14:textId="4046AB62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Dependent on the existing staff and external service providers</w:t>
            </w:r>
          </w:p>
        </w:tc>
      </w:tr>
      <w:tr w:rsidR="003C04ED" w14:paraId="397E6152" w14:textId="77777777" w:rsidTr="00A9373B">
        <w:tc>
          <w:tcPr>
            <w:tcW w:w="1888" w:type="dxa"/>
          </w:tcPr>
          <w:p w14:paraId="565EB678" w14:textId="73447761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Employee support implementation</w:t>
            </w:r>
          </w:p>
        </w:tc>
        <w:tc>
          <w:tcPr>
            <w:tcW w:w="2350" w:type="dxa"/>
          </w:tcPr>
          <w:p w14:paraId="0A8AF22A" w14:textId="77777777" w:rsidR="003C04ED" w:rsidRDefault="003C04ED" w:rsidP="003C04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204" w:type="dxa"/>
          </w:tcPr>
          <w:p w14:paraId="0F78DD33" w14:textId="6922D9BA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2-3 weeks</w:t>
            </w:r>
          </w:p>
        </w:tc>
        <w:tc>
          <w:tcPr>
            <w:tcW w:w="2204" w:type="dxa"/>
          </w:tcPr>
          <w:p w14:paraId="2ACA99E3" w14:textId="77777777" w:rsidR="003C04ED" w:rsidRDefault="003C04ED" w:rsidP="003C04ED">
            <w:pPr>
              <w:spacing w:line="360" w:lineRule="auto"/>
              <w:rPr>
                <w:rFonts w:cstheme="minorHAnsi"/>
              </w:rPr>
            </w:pPr>
          </w:p>
        </w:tc>
      </w:tr>
      <w:tr w:rsidR="003C04ED" w14:paraId="0D3525E5" w14:textId="77777777" w:rsidTr="00A9373B">
        <w:tc>
          <w:tcPr>
            <w:tcW w:w="1888" w:type="dxa"/>
          </w:tcPr>
          <w:p w14:paraId="5EC17130" w14:textId="291594A1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Rehabilitation planning and execution</w:t>
            </w:r>
          </w:p>
        </w:tc>
        <w:tc>
          <w:tcPr>
            <w:tcW w:w="2350" w:type="dxa"/>
          </w:tcPr>
          <w:p w14:paraId="3E202756" w14:textId="596ADE57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Allocate funds for rehabilitation programs and ongoing support. Estimated range: $10,000 - $20,000.</w:t>
            </w:r>
          </w:p>
        </w:tc>
        <w:tc>
          <w:tcPr>
            <w:tcW w:w="2204" w:type="dxa"/>
          </w:tcPr>
          <w:p w14:paraId="7291F378" w14:textId="216F4E64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4-8 weeks</w:t>
            </w:r>
          </w:p>
        </w:tc>
        <w:tc>
          <w:tcPr>
            <w:tcW w:w="2204" w:type="dxa"/>
          </w:tcPr>
          <w:p w14:paraId="64362BA4" w14:textId="6CD8E53A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1-2 psychologists, HR specialists</w:t>
            </w:r>
          </w:p>
        </w:tc>
      </w:tr>
      <w:tr w:rsidR="003C04ED" w14:paraId="38B0D2F8" w14:textId="77777777" w:rsidTr="00A9373B">
        <w:tc>
          <w:tcPr>
            <w:tcW w:w="1888" w:type="dxa"/>
          </w:tcPr>
          <w:p w14:paraId="79D6FB13" w14:textId="503599C7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Progress monitoring and policy adjustment</w:t>
            </w:r>
          </w:p>
        </w:tc>
        <w:tc>
          <w:tcPr>
            <w:tcW w:w="2350" w:type="dxa"/>
          </w:tcPr>
          <w:p w14:paraId="476B0A94" w14:textId="03C310FC" w:rsidR="003C04ED" w:rsidRDefault="00E7256E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$20.000-$40.000/annually</w:t>
            </w:r>
          </w:p>
        </w:tc>
        <w:tc>
          <w:tcPr>
            <w:tcW w:w="2204" w:type="dxa"/>
          </w:tcPr>
          <w:p w14:paraId="7081A136" w14:textId="3B13D59B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Ongoing</w:t>
            </w:r>
          </w:p>
        </w:tc>
        <w:tc>
          <w:tcPr>
            <w:tcW w:w="2204" w:type="dxa"/>
          </w:tcPr>
          <w:p w14:paraId="38127F77" w14:textId="21AAFAB5" w:rsidR="003C04ED" w:rsidRDefault="0039475A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HR specialists or designated case managers</w:t>
            </w:r>
          </w:p>
        </w:tc>
      </w:tr>
      <w:tr w:rsidR="003C04ED" w14:paraId="6D924C54" w14:textId="77777777" w:rsidTr="00A9373B">
        <w:tc>
          <w:tcPr>
            <w:tcW w:w="1888" w:type="dxa"/>
          </w:tcPr>
          <w:p w14:paraId="105ED4EF" w14:textId="6AEA968F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Documentation and learning</w:t>
            </w:r>
          </w:p>
        </w:tc>
        <w:tc>
          <w:tcPr>
            <w:tcW w:w="2350" w:type="dxa"/>
          </w:tcPr>
          <w:p w14:paraId="211B93D7" w14:textId="77777777" w:rsidR="003C04ED" w:rsidRDefault="003C04ED" w:rsidP="003C04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204" w:type="dxa"/>
          </w:tcPr>
          <w:p w14:paraId="3A036FBB" w14:textId="07F5AF7F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Ongoing</w:t>
            </w:r>
          </w:p>
        </w:tc>
        <w:tc>
          <w:tcPr>
            <w:tcW w:w="2204" w:type="dxa"/>
          </w:tcPr>
          <w:p w14:paraId="30E21D7F" w14:textId="77777777" w:rsidR="003C04ED" w:rsidRDefault="003C04ED" w:rsidP="003C04ED">
            <w:pPr>
              <w:spacing w:line="360" w:lineRule="auto"/>
              <w:rPr>
                <w:rFonts w:cstheme="minorHAnsi"/>
              </w:rPr>
            </w:pPr>
          </w:p>
        </w:tc>
      </w:tr>
      <w:tr w:rsidR="003C04ED" w14:paraId="598E680C" w14:textId="77777777" w:rsidTr="00A9373B">
        <w:tc>
          <w:tcPr>
            <w:tcW w:w="1888" w:type="dxa"/>
          </w:tcPr>
          <w:p w14:paraId="4DD2633A" w14:textId="3DB03751" w:rsidR="003C04ED" w:rsidRDefault="003C04ED" w:rsidP="003C04ED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Legal consideration</w:t>
            </w:r>
          </w:p>
        </w:tc>
        <w:tc>
          <w:tcPr>
            <w:tcW w:w="2350" w:type="dxa"/>
          </w:tcPr>
          <w:p w14:paraId="1B3585E2" w14:textId="6F6A3125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Include legal consultation fees. Estimated range: $5,000 - $10,000.</w:t>
            </w:r>
          </w:p>
        </w:tc>
        <w:tc>
          <w:tcPr>
            <w:tcW w:w="2204" w:type="dxa"/>
          </w:tcPr>
          <w:p w14:paraId="6F5DF276" w14:textId="09A124DB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Ongoing</w:t>
            </w:r>
          </w:p>
        </w:tc>
        <w:tc>
          <w:tcPr>
            <w:tcW w:w="2204" w:type="dxa"/>
          </w:tcPr>
          <w:p w14:paraId="022B7E06" w14:textId="4636D1EE" w:rsidR="003C04ED" w:rsidRDefault="003C04ED" w:rsidP="003C04ED">
            <w:pPr>
              <w:spacing w:line="360" w:lineRule="auto"/>
              <w:rPr>
                <w:rFonts w:cstheme="minorHAnsi"/>
              </w:rPr>
            </w:pPr>
            <w:r>
              <w:rPr>
                <w:rStyle w:val="ui-provider"/>
              </w:rPr>
              <w:t>Legal advisors involved throughout the process</w:t>
            </w:r>
          </w:p>
        </w:tc>
      </w:tr>
    </w:tbl>
    <w:p w14:paraId="366BAC69" w14:textId="77777777" w:rsidR="002107E0" w:rsidRDefault="002107E0" w:rsidP="00A9373B">
      <w:pPr>
        <w:spacing w:line="360" w:lineRule="auto"/>
        <w:rPr>
          <w:rFonts w:cstheme="minorHAnsi"/>
        </w:rPr>
      </w:pPr>
    </w:p>
    <w:p w14:paraId="73748A6C" w14:textId="77777777" w:rsidR="009A6432" w:rsidRPr="00A9373B" w:rsidRDefault="009A6432" w:rsidP="00A9373B">
      <w:pPr>
        <w:spacing w:line="360" w:lineRule="auto"/>
        <w:rPr>
          <w:rFonts w:cstheme="minorHAnsi"/>
        </w:rPr>
      </w:pPr>
    </w:p>
    <w:p w14:paraId="7C3746B8" w14:textId="15515E11" w:rsidR="004967B7" w:rsidRPr="009A6432" w:rsidRDefault="004967B7" w:rsidP="004967B7">
      <w:pPr>
        <w:pStyle w:val="ListParagraph"/>
        <w:numPr>
          <w:ilvl w:val="0"/>
          <w:numId w:val="1"/>
        </w:numPr>
        <w:rPr>
          <w:rFonts w:cstheme="minorHAnsi"/>
        </w:rPr>
      </w:pPr>
      <w:r w:rsidRPr="004967B7">
        <w:rPr>
          <w:rFonts w:cstheme="minorHAnsi"/>
          <w:color w:val="202122"/>
          <w:spacing w:val="3"/>
          <w:shd w:val="clear" w:color="auto" w:fill="FFFFFF"/>
        </w:rPr>
        <w:t>Prioritization techniques</w:t>
      </w:r>
      <w:r w:rsidR="002107E0">
        <w:rPr>
          <w:rFonts w:cstheme="minorHAnsi"/>
          <w:color w:val="202122"/>
          <w:spacing w:val="3"/>
          <w:shd w:val="clear" w:color="auto" w:fill="FFFFFF"/>
        </w:rPr>
        <w:t xml:space="preserve"> (Moscow Technique).</w:t>
      </w:r>
    </w:p>
    <w:p w14:paraId="17D7A411" w14:textId="77777777" w:rsidR="009A6432" w:rsidRPr="007918EE" w:rsidRDefault="009A6432" w:rsidP="009A6432">
      <w:pPr>
        <w:pStyle w:val="ListParagraph"/>
        <w:rPr>
          <w:rFonts w:cstheme="minorHAnsi"/>
        </w:rPr>
      </w:pPr>
    </w:p>
    <w:p w14:paraId="07801ABF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Identify and Confirm the Issue: MUST HAVE</w:t>
      </w:r>
    </w:p>
    <w:p w14:paraId="588EC2C3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Gather detailed information about Amber's behavior, including instances of tardiness, financial troubles, and the discovery of substance abuse.</w:t>
      </w:r>
    </w:p>
    <w:p w14:paraId="77D2A793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Confirm the need for intervention based on concrete evidence.</w:t>
      </w:r>
    </w:p>
    <w:p w14:paraId="6773B274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Assess Internal Resources: MUST HAVE</w:t>
      </w:r>
    </w:p>
    <w:p w14:paraId="5C91F650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Evaluate existing internal resources, including in-house counseling services or employee assistance programs (EAPs).</w:t>
      </w:r>
    </w:p>
    <w:p w14:paraId="66A343A9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Determine if there are psychologists or counselors within the organization who can contribute to the intervention.</w:t>
      </w:r>
    </w:p>
    <w:p w14:paraId="20679A1D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Assemble a Cross-Functional Team: SHOULD HAVE</w:t>
      </w:r>
    </w:p>
    <w:p w14:paraId="41901DB5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Form a team that includes HR professionals, psychologists, addiction counselors, and legal advisors.</w:t>
      </w:r>
    </w:p>
    <w:p w14:paraId="50D0740E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Leverage existing in-house expertise to supplement external specialists.</w:t>
      </w:r>
    </w:p>
    <w:p w14:paraId="68012BFA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Engage External Specialists: COULD HAVE</w:t>
      </w:r>
    </w:p>
    <w:p w14:paraId="10010F6F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If internal resources are insufficient, consider engaging external specialists or consultants with experience in employee assistance programs, substance abuse counseling, and workplace interventions.</w:t>
      </w:r>
    </w:p>
    <w:p w14:paraId="13B9C13C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Allocate budgetary resources for their services.</w:t>
      </w:r>
    </w:p>
    <w:p w14:paraId="5836DF35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Conduct a Thorough Investigation: COULD HAVE</w:t>
      </w:r>
    </w:p>
    <w:p w14:paraId="4C1DC7E0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Initiate a comprehensive investigation into Amber's behavior, ensuring fairness and adherence to legal and ethical standards.</w:t>
      </w:r>
    </w:p>
    <w:p w14:paraId="2D89AB20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Utilize both HR and psychological expertise to understand the psychological aspects of Amber's behavior.</w:t>
      </w:r>
    </w:p>
    <w:p w14:paraId="1576C0CC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lastRenderedPageBreak/>
        <w:t>Implement a Substance Abuse Policy: SHOULD HAVE</w:t>
      </w:r>
    </w:p>
    <w:p w14:paraId="07CF013E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Develop or update a clear and comprehensive substance abuse policy that outlines expectations, consequences, and support mechanisms.</w:t>
      </w:r>
    </w:p>
    <w:p w14:paraId="2B6F64AB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Ensure the policy complies with relevant laws and regulations.</w:t>
      </w:r>
    </w:p>
    <w:p w14:paraId="6B75AFFD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Collaborate with psychologists to integrate mental health considerations into the policy.</w:t>
      </w:r>
    </w:p>
    <w:p w14:paraId="1CED5BC6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Budget Allocation: MUST HAVE</w:t>
      </w:r>
    </w:p>
    <w:p w14:paraId="58E66CE8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Allocate a budget for employee assistance programs, counseling services, and potential rehabilitation efforts.</w:t>
      </w:r>
    </w:p>
    <w:p w14:paraId="1AECE00B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Leverage existing resources, such as in-house counseling services, to minimize external costs.</w:t>
      </w:r>
    </w:p>
    <w:p w14:paraId="0C5BBEB8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Communication and Employee Support: MUST HAVE</w:t>
      </w:r>
    </w:p>
    <w:p w14:paraId="36B05F94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Communicate the substance abuse policy to all employees, emphasizing the organization's commitment to a supportive and healthy workplace.</w:t>
      </w:r>
    </w:p>
    <w:p w14:paraId="274F763A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Utilize existing communication channels to promote awareness.</w:t>
      </w:r>
    </w:p>
    <w:p w14:paraId="2E775129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Use in-house psychologists for educational sessions on mental health and substance abuse.</w:t>
      </w:r>
    </w:p>
    <w:p w14:paraId="32714D50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Offer Support Services: SHOULD HAVE</w:t>
      </w:r>
    </w:p>
    <w:p w14:paraId="3FAFD17A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Enhance existing employee assistance programs to include counseling services and resources for employees facing personal challenges, including substance abuse.</w:t>
      </w:r>
    </w:p>
    <w:p w14:paraId="5703FFDF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Utilize in-house psychologists to supplement external support services.</w:t>
      </w:r>
    </w:p>
    <w:p w14:paraId="4F7C03F3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Facilitate Rehabilitation Opportunities: COULD HAVE</w:t>
      </w:r>
    </w:p>
    <w:p w14:paraId="63B0575E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Collaborate closely with psychologists to develop a rehabilitation plan tailored to Amber's needs.</w:t>
      </w:r>
    </w:p>
    <w:p w14:paraId="7F14A608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Leverage in-house resources for ongoing support and monitoring.</w:t>
      </w:r>
    </w:p>
    <w:p w14:paraId="56328EE5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Monitor Progress and Adjust Policies: MUST HAVE</w:t>
      </w:r>
    </w:p>
    <w:p w14:paraId="6CA0C91F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Regularly monitor Amber's progress, involving both HR and psychological perspectives.</w:t>
      </w:r>
    </w:p>
    <w:p w14:paraId="6F50939C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Use feedback and data to continually refine the organization's approach to substance abuse issues.</w:t>
      </w:r>
    </w:p>
    <w:p w14:paraId="013BB080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t>Document and Learn: MUST HAVE</w:t>
      </w:r>
    </w:p>
    <w:p w14:paraId="69EED678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Document the entire process, including policies, interventions, and outcomes.</w:t>
      </w:r>
    </w:p>
    <w:p w14:paraId="0AA6ADBD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Use the experience as a learning opportunity to enhance future responses to similar situations.</w:t>
      </w:r>
    </w:p>
    <w:p w14:paraId="3763D911" w14:textId="77777777" w:rsidR="009A6432" w:rsidRPr="009A6432" w:rsidRDefault="009A6432" w:rsidP="009A6432">
      <w:pPr>
        <w:numPr>
          <w:ilvl w:val="0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b/>
          <w:bCs/>
          <w:kern w:val="0"/>
          <w:lang w:eastAsia="en-CA"/>
          <w14:ligatures w14:val="none"/>
        </w:rPr>
        <w:lastRenderedPageBreak/>
        <w:t>Legal Considerations: MUST HAVE</w:t>
      </w:r>
    </w:p>
    <w:p w14:paraId="0C8B3DDE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Consult legal advisors throughout the process to ensure compliance with employment laws and regulations.</w:t>
      </w:r>
    </w:p>
    <w:p w14:paraId="54D11536" w14:textId="77777777" w:rsidR="009A6432" w:rsidRPr="009A6432" w:rsidRDefault="009A6432" w:rsidP="009A6432">
      <w:pPr>
        <w:numPr>
          <w:ilvl w:val="1"/>
          <w:numId w:val="8"/>
        </w:numPr>
        <w:spacing w:after="0" w:line="360" w:lineRule="auto"/>
        <w:rPr>
          <w:rFonts w:eastAsia="Times New Roman" w:cstheme="minorHAnsi"/>
          <w:kern w:val="0"/>
          <w:lang w:eastAsia="en-CA"/>
          <w14:ligatures w14:val="none"/>
        </w:rPr>
      </w:pPr>
      <w:r w:rsidRPr="009A6432">
        <w:rPr>
          <w:rFonts w:eastAsia="Times New Roman" w:cstheme="minorHAnsi"/>
          <w:kern w:val="0"/>
          <w:lang w:eastAsia="en-CA"/>
          <w14:ligatures w14:val="none"/>
        </w:rPr>
        <w:t>Document all actions taken to protect the organization legally.</w:t>
      </w:r>
    </w:p>
    <w:p w14:paraId="380B819F" w14:textId="77777777" w:rsidR="007918EE" w:rsidRPr="004967B7" w:rsidRDefault="007918EE" w:rsidP="007918EE">
      <w:pPr>
        <w:pStyle w:val="ListParagraph"/>
        <w:rPr>
          <w:rFonts w:cstheme="minorHAnsi"/>
        </w:rPr>
      </w:pPr>
    </w:p>
    <w:p w14:paraId="5830A84E" w14:textId="106194BC" w:rsidR="004967B7" w:rsidRPr="0039475A" w:rsidRDefault="004967B7" w:rsidP="009A6432">
      <w:pPr>
        <w:pStyle w:val="ListParagraph"/>
        <w:numPr>
          <w:ilvl w:val="0"/>
          <w:numId w:val="8"/>
        </w:numPr>
        <w:rPr>
          <w:rFonts w:cstheme="minorHAnsi"/>
        </w:rPr>
      </w:pPr>
      <w:r w:rsidRPr="004967B7">
        <w:rPr>
          <w:rFonts w:cstheme="minorHAnsi"/>
          <w:color w:val="202122"/>
          <w:spacing w:val="3"/>
          <w:shd w:val="clear" w:color="auto" w:fill="FFFFFF"/>
        </w:rPr>
        <w:t>Conclusion</w:t>
      </w:r>
    </w:p>
    <w:p w14:paraId="55D6460D" w14:textId="59EFE512" w:rsidR="0039475A" w:rsidRPr="0039475A" w:rsidRDefault="0039475A" w:rsidP="0039475A">
      <w:pPr>
        <w:pStyle w:val="ListParagraph"/>
        <w:spacing w:line="360" w:lineRule="auto"/>
        <w:rPr>
          <w:rFonts w:cstheme="minorHAnsi"/>
        </w:rPr>
      </w:pPr>
      <w:r>
        <w:rPr>
          <w:rStyle w:val="ui-provider"/>
        </w:rPr>
        <w:t xml:space="preserve">In conclusion, we believe that having a stablished policy and preventive </w:t>
      </w:r>
      <w:r w:rsidR="00FF487D">
        <w:rPr>
          <w:rStyle w:val="ui-provider"/>
        </w:rPr>
        <w:t>program with</w:t>
      </w:r>
      <w:r>
        <w:rPr>
          <w:rStyle w:val="ui-provider"/>
        </w:rPr>
        <w:t xml:space="preserve"> the drug abuse among  the employees reduce the lost of money in the company and avoid having  a gap in the job duties. Also help us to keep the employees for long terms which reduce the cost of hiring and looking for new people and training them. </w:t>
      </w:r>
    </w:p>
    <w:p w14:paraId="6707B1DE" w14:textId="77777777" w:rsidR="0039475A" w:rsidRPr="002107E0" w:rsidRDefault="0039475A" w:rsidP="0039475A">
      <w:pPr>
        <w:pStyle w:val="ListParagraph"/>
        <w:rPr>
          <w:rFonts w:cstheme="minorHAnsi"/>
        </w:rPr>
      </w:pPr>
    </w:p>
    <w:p w14:paraId="76AF2C4D" w14:textId="77777777" w:rsidR="002107E0" w:rsidRPr="004967B7" w:rsidRDefault="002107E0" w:rsidP="002107E0">
      <w:pPr>
        <w:pStyle w:val="ListParagraph"/>
        <w:rPr>
          <w:rFonts w:cstheme="minorHAnsi"/>
        </w:rPr>
      </w:pPr>
    </w:p>
    <w:sectPr w:rsidR="002107E0" w:rsidRPr="00496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FC9"/>
    <w:multiLevelType w:val="hybridMultilevel"/>
    <w:tmpl w:val="60E8031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40451"/>
    <w:multiLevelType w:val="hybridMultilevel"/>
    <w:tmpl w:val="79DEC9D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8B425A"/>
    <w:multiLevelType w:val="hybridMultilevel"/>
    <w:tmpl w:val="8D7679C6"/>
    <w:lvl w:ilvl="0" w:tplc="9A44B0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E7FF1"/>
    <w:multiLevelType w:val="hybridMultilevel"/>
    <w:tmpl w:val="6E344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61EFF"/>
    <w:multiLevelType w:val="hybridMultilevel"/>
    <w:tmpl w:val="8DF4568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51D59"/>
    <w:multiLevelType w:val="hybridMultilevel"/>
    <w:tmpl w:val="6E3440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83D61"/>
    <w:multiLevelType w:val="multilevel"/>
    <w:tmpl w:val="FF54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43071"/>
    <w:multiLevelType w:val="multilevel"/>
    <w:tmpl w:val="42C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881085">
    <w:abstractNumId w:val="5"/>
  </w:num>
  <w:num w:numId="2" w16cid:durableId="888417666">
    <w:abstractNumId w:val="0"/>
  </w:num>
  <w:num w:numId="3" w16cid:durableId="202834837">
    <w:abstractNumId w:val="6"/>
  </w:num>
  <w:num w:numId="4" w16cid:durableId="580799577">
    <w:abstractNumId w:val="4"/>
  </w:num>
  <w:num w:numId="5" w16cid:durableId="546915122">
    <w:abstractNumId w:val="1"/>
  </w:num>
  <w:num w:numId="6" w16cid:durableId="1651442466">
    <w:abstractNumId w:val="2"/>
  </w:num>
  <w:num w:numId="7" w16cid:durableId="507794504">
    <w:abstractNumId w:val="7"/>
  </w:num>
  <w:num w:numId="8" w16cid:durableId="348070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B7"/>
    <w:rsid w:val="002107E0"/>
    <w:rsid w:val="00213A77"/>
    <w:rsid w:val="002C73EB"/>
    <w:rsid w:val="0039475A"/>
    <w:rsid w:val="003C04ED"/>
    <w:rsid w:val="004967B7"/>
    <w:rsid w:val="00596E1F"/>
    <w:rsid w:val="007918EE"/>
    <w:rsid w:val="007D132A"/>
    <w:rsid w:val="009A6432"/>
    <w:rsid w:val="00A876A3"/>
    <w:rsid w:val="00A9373B"/>
    <w:rsid w:val="00E72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70FC"/>
  <w15:chartTrackingRefBased/>
  <w15:docId w15:val="{3506DFF4-A258-476A-B460-3D0C2747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7B7"/>
    <w:pPr>
      <w:ind w:left="720"/>
      <w:contextualSpacing/>
    </w:pPr>
  </w:style>
  <w:style w:type="character" w:customStyle="1" w:styleId="ui-provider">
    <w:name w:val="ui-provider"/>
    <w:basedOn w:val="DefaultParagraphFont"/>
    <w:rsid w:val="00213A77"/>
  </w:style>
  <w:style w:type="character" w:customStyle="1" w:styleId="Heading1Char">
    <w:name w:val="Heading 1 Char"/>
    <w:basedOn w:val="DefaultParagraphFont"/>
    <w:link w:val="Heading1"/>
    <w:uiPriority w:val="9"/>
    <w:rsid w:val="007918E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107E0"/>
    <w:rPr>
      <w:b/>
      <w:bCs/>
    </w:rPr>
  </w:style>
  <w:style w:type="table" w:styleId="TableGrid">
    <w:name w:val="Table Grid"/>
    <w:basedOn w:val="TableNormal"/>
    <w:uiPriority w:val="39"/>
    <w:rsid w:val="00A9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Puspitosari,Yuliana</dc:creator>
  <cp:keywords/>
  <dc:description/>
  <cp:lastModifiedBy>Elaine Candido da Silva</cp:lastModifiedBy>
  <cp:revision>4</cp:revision>
  <dcterms:created xsi:type="dcterms:W3CDTF">2024-01-19T12:37:00Z</dcterms:created>
  <dcterms:modified xsi:type="dcterms:W3CDTF">2024-02-04T00:13:00Z</dcterms:modified>
</cp:coreProperties>
</file>