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608A" w14:textId="62C72128" w:rsidR="00D12B46" w:rsidRDefault="00FE3F2E">
      <w:r>
        <w:t>Assignment 1 – Conduct a SWOT Analysis</w:t>
      </w:r>
    </w:p>
    <w:p w14:paraId="6EDBC21E" w14:textId="77777777" w:rsidR="00FE3F2E" w:rsidRDefault="00FE3F2E"/>
    <w:p w14:paraId="7091322C" w14:textId="77777777" w:rsidR="00E90A7C" w:rsidRDefault="00E90A7C" w:rsidP="00FE3F2E">
      <w:pPr>
        <w:jc w:val="both"/>
        <w:rPr>
          <w:rFonts w:ascii="Roboto" w:hAnsi="Roboto"/>
          <w:spacing w:val="5"/>
          <w:sz w:val="18"/>
          <w:szCs w:val="18"/>
          <w:shd w:val="clear" w:color="auto" w:fill="FFFFFF"/>
        </w:rPr>
      </w:pPr>
      <w:r w:rsidRPr="004268CA">
        <w:rPr>
          <w:rFonts w:ascii="Roboto" w:hAnsi="Roboto"/>
          <w:spacing w:val="5"/>
          <w:sz w:val="18"/>
          <w:szCs w:val="18"/>
          <w:shd w:val="clear" w:color="auto" w:fill="FFFFFF"/>
        </w:rPr>
        <w:t xml:space="preserve">AMC Entertainment </w:t>
      </w:r>
    </w:p>
    <w:p w14:paraId="0CF708F4" w14:textId="5A4051DB" w:rsidR="00FE3F2E" w:rsidRDefault="004268CA" w:rsidP="00FE3F2E">
      <w:pPr>
        <w:jc w:val="both"/>
        <w:rPr>
          <w:rFonts w:ascii="Roboto" w:hAnsi="Roboto"/>
          <w:spacing w:val="5"/>
          <w:sz w:val="18"/>
          <w:szCs w:val="18"/>
          <w:shd w:val="clear" w:color="auto" w:fill="FFFFFF"/>
        </w:rPr>
      </w:pPr>
      <w:r w:rsidRPr="004268CA">
        <w:rPr>
          <w:rFonts w:ascii="Roboto" w:hAnsi="Roboto"/>
          <w:spacing w:val="5"/>
          <w:sz w:val="18"/>
          <w:szCs w:val="18"/>
          <w:shd w:val="clear" w:color="auto" w:fill="FFFFFF"/>
        </w:rPr>
        <w:t>AMC Entertainment Holdings, Inc. is a movie exhibition company. The Company is principally engaged in the theatrical exhibition business and owns, operates, or has interests in theaters primarily located in the United States and Europe. The Company operates through two segments: U.S. markets and International markets. In U.S. markets segment, it owns, leases and operates theaters in approximately 43 states and the District of Columbia. The International markets segment has operations in or partial interest in theaters in the United Kingdom, Germany, Spain, Italy, Ireland, Portugal, Sweden, Finland, Norway, Denmark, and Saudi Arabia. The Company's brands include AMC, AMC CLASSIC and AMC DINE-IN. It also offers food and beverage products that include meals, healthy snacks, liquor, beer and wine options, and other gourmet products. It operates approximately 940 theatres and 10,500 screens in United States and international markets.</w:t>
      </w:r>
    </w:p>
    <w:p w14:paraId="3F89FAE6" w14:textId="56B4E8DF" w:rsidR="00FE3F2E" w:rsidRDefault="00FE3F2E" w:rsidP="00FE3F2E">
      <w:pPr>
        <w:rPr>
          <w:rFonts w:ascii="Roboto" w:hAnsi="Roboto"/>
          <w:spacing w:val="5"/>
          <w:sz w:val="18"/>
          <w:szCs w:val="18"/>
          <w:shd w:val="clear" w:color="auto" w:fill="FFFFFF"/>
        </w:rPr>
      </w:pPr>
      <w:r>
        <w:rPr>
          <w:rFonts w:ascii="Roboto" w:hAnsi="Roboto"/>
          <w:spacing w:val="5"/>
          <w:sz w:val="18"/>
          <w:szCs w:val="18"/>
          <w:shd w:val="clear" w:color="auto" w:fill="FFFFFF"/>
        </w:rPr>
        <w:t xml:space="preserve">Sources: </w:t>
      </w:r>
      <w:hyperlink r:id="rId5" w:history="1">
        <w:r w:rsidR="004D04C8" w:rsidRPr="00ED5C40">
          <w:rPr>
            <w:rStyle w:val="Hyperlink"/>
            <w:rFonts w:ascii="Roboto" w:hAnsi="Roboto"/>
            <w:spacing w:val="5"/>
            <w:sz w:val="18"/>
            <w:szCs w:val="18"/>
            <w:shd w:val="clear" w:color="auto" w:fill="FFFFFF"/>
          </w:rPr>
          <w:t>https://www.cnbc.com/quotes/AMC</w:t>
        </w:r>
      </w:hyperlink>
    </w:p>
    <w:p w14:paraId="1723B951" w14:textId="271A2C90" w:rsidR="00E977AC" w:rsidRDefault="00E977AC" w:rsidP="00FE3F2E">
      <w:pPr>
        <w:rPr>
          <w:rFonts w:ascii="Roboto" w:hAnsi="Roboto"/>
          <w:spacing w:val="5"/>
          <w:sz w:val="18"/>
          <w:szCs w:val="18"/>
          <w:shd w:val="clear" w:color="auto" w:fill="FFFFFF"/>
        </w:rPr>
      </w:pPr>
      <w:r>
        <w:rPr>
          <w:rFonts w:ascii="Roboto" w:hAnsi="Roboto"/>
          <w:spacing w:val="5"/>
          <w:sz w:val="18"/>
          <w:szCs w:val="18"/>
          <w:shd w:val="clear" w:color="auto" w:fill="FFFFFF"/>
        </w:rPr>
        <w:t>The C</w:t>
      </w:r>
      <w:r w:rsidR="001A36D0">
        <w:rPr>
          <w:rFonts w:ascii="Roboto" w:hAnsi="Roboto"/>
          <w:spacing w:val="5"/>
          <w:sz w:val="18"/>
          <w:szCs w:val="18"/>
          <w:shd w:val="clear" w:color="auto" w:fill="FFFFFF"/>
        </w:rPr>
        <w:t xml:space="preserve">hallenge: </w:t>
      </w:r>
      <w:hyperlink r:id="rId6" w:history="1">
        <w:r w:rsidR="001A36D0" w:rsidRPr="00ED5C40">
          <w:rPr>
            <w:rStyle w:val="Hyperlink"/>
            <w:rFonts w:ascii="Roboto" w:hAnsi="Roboto"/>
            <w:spacing w:val="5"/>
            <w:sz w:val="18"/>
            <w:szCs w:val="18"/>
            <w:shd w:val="clear" w:color="auto" w:fill="FFFFFF"/>
          </w:rPr>
          <w:t>https://www.financemagnates.com/trending/amc-investment-strategies-has-the-hype-officially-died/</w:t>
        </w:r>
      </w:hyperlink>
    </w:p>
    <w:p w14:paraId="428F0CED" w14:textId="34146FBA" w:rsidR="00B640D2" w:rsidRDefault="00B640D2" w:rsidP="00FE3F2E">
      <w:pPr>
        <w:rPr>
          <w:rFonts w:ascii="Roboto" w:hAnsi="Roboto"/>
          <w:spacing w:val="5"/>
          <w:sz w:val="18"/>
          <w:szCs w:val="18"/>
          <w:shd w:val="clear" w:color="auto" w:fill="FFFFFF"/>
        </w:rPr>
      </w:pPr>
      <w:r>
        <w:rPr>
          <w:rFonts w:ascii="Roboto" w:hAnsi="Roboto"/>
          <w:spacing w:val="5"/>
          <w:sz w:val="18"/>
          <w:szCs w:val="18"/>
          <w:shd w:val="clear" w:color="auto" w:fill="FFFFFF"/>
        </w:rPr>
        <w:t>Group Members:</w:t>
      </w:r>
    </w:p>
    <w:p w14:paraId="4EF75CBA" w14:textId="066C0657" w:rsidR="00B640D2" w:rsidRDefault="00B640D2" w:rsidP="00FE3F2E">
      <w:pPr>
        <w:rPr>
          <w:rFonts w:ascii="Roboto" w:hAnsi="Roboto"/>
          <w:spacing w:val="5"/>
          <w:sz w:val="18"/>
          <w:szCs w:val="18"/>
          <w:shd w:val="clear" w:color="auto" w:fill="FFFFFF"/>
        </w:rPr>
      </w:pPr>
    </w:p>
    <w:p w14:paraId="271EECE7" w14:textId="65C093B5" w:rsidR="00393266" w:rsidRDefault="00A10F71" w:rsidP="00FE3F2E">
      <w:pPr>
        <w:sectPr w:rsidR="00393266" w:rsidSect="00A10F71">
          <w:pgSz w:w="12240" w:h="15840"/>
          <w:pgMar w:top="1440" w:right="1440" w:bottom="1440" w:left="1440" w:header="708" w:footer="708" w:gutter="0"/>
          <w:cols w:space="708"/>
          <w:docGrid w:linePitch="360"/>
        </w:sectPr>
      </w:pPr>
      <w:r>
        <w:br w:type="page"/>
      </w:r>
    </w:p>
    <w:p w14:paraId="0E6BE2E0" w14:textId="6FD2F946" w:rsidR="009D2DD7" w:rsidRDefault="003D0F97" w:rsidP="009D2DD7">
      <w:pPr>
        <w:spacing w:line="204" w:lineRule="auto"/>
        <w:rPr>
          <w:rFonts w:asciiTheme="majorHAnsi" w:eastAsiaTheme="majorEastAsia" w:hAnsi="Calibri Light" w:cstheme="majorBidi"/>
          <w:b/>
          <w:bCs/>
          <w:color w:val="ED7D31" w:themeColor="accent2"/>
          <w:kern w:val="24"/>
          <w:sz w:val="64"/>
          <w:szCs w:val="64"/>
          <w14:ligatures w14:val="none"/>
        </w:rPr>
      </w:pPr>
      <w:r>
        <w:rPr>
          <w:rFonts w:asciiTheme="majorHAnsi" w:eastAsiaTheme="majorEastAsia" w:hAnsi="Calibri Light" w:cstheme="majorBidi"/>
          <w:b/>
          <w:bCs/>
          <w:color w:val="ED7D31" w:themeColor="accent2"/>
          <w:kern w:val="24"/>
          <w:sz w:val="64"/>
          <w:szCs w:val="64"/>
        </w:rPr>
        <w:lastRenderedPageBreak/>
        <w:t xml:space="preserve">            </w:t>
      </w:r>
      <w:r w:rsidR="000D019A">
        <w:rPr>
          <w:rFonts w:asciiTheme="majorHAnsi" w:eastAsiaTheme="majorEastAsia" w:hAnsi="Calibri Light" w:cstheme="majorBidi"/>
          <w:b/>
          <w:bCs/>
          <w:color w:val="ED7D31" w:themeColor="accent2"/>
          <w:kern w:val="24"/>
          <w:sz w:val="64"/>
          <w:szCs w:val="64"/>
        </w:rPr>
        <w:t xml:space="preserve">                                    </w:t>
      </w:r>
      <w:r w:rsidR="009D2DD7">
        <w:rPr>
          <w:rFonts w:asciiTheme="majorHAnsi" w:eastAsiaTheme="majorEastAsia" w:hAnsi="Calibri Light" w:cstheme="majorBidi"/>
          <w:b/>
          <w:bCs/>
          <w:color w:val="ED7D31" w:themeColor="accent2"/>
          <w:kern w:val="24"/>
          <w:sz w:val="64"/>
          <w:szCs w:val="64"/>
        </w:rPr>
        <w:t>SWOT</w:t>
      </w:r>
    </w:p>
    <w:p w14:paraId="7D509F75" w14:textId="3614100A" w:rsidR="009D2DD7" w:rsidRDefault="003D0F97" w:rsidP="000745F1">
      <w:pPr>
        <w:pStyle w:val="Heading1"/>
      </w:pPr>
      <w:r>
        <w:rPr>
          <w:lang w:val="en-US"/>
        </w:rPr>
        <w:t xml:space="preserve">                    </w:t>
      </w:r>
      <w:r w:rsidR="009D2DD7">
        <w:rPr>
          <w:lang w:val="en-US"/>
        </w:rPr>
        <w:t>I</w:t>
      </w:r>
      <w:r w:rsidR="009D2DD7">
        <w:t>dentify Strengths, Weaknesses, Opportunities, and Threats</w:t>
      </w:r>
    </w:p>
    <w:p w14:paraId="05C61C41" w14:textId="77777777" w:rsidR="00A61CED" w:rsidRPr="00A61CED" w:rsidRDefault="00A61CED" w:rsidP="00A61CED"/>
    <w:tbl>
      <w:tblPr>
        <w:tblStyle w:val="TableGrid"/>
        <w:tblW w:w="0" w:type="auto"/>
        <w:tblInd w:w="781" w:type="dxa"/>
        <w:tblLook w:val="04A0" w:firstRow="1" w:lastRow="0" w:firstColumn="1" w:lastColumn="0" w:noHBand="0" w:noVBand="1"/>
      </w:tblPr>
      <w:tblGrid>
        <w:gridCol w:w="560"/>
        <w:gridCol w:w="6314"/>
        <w:gridCol w:w="6278"/>
        <w:gridCol w:w="498"/>
      </w:tblGrid>
      <w:tr w:rsidR="000745F1" w14:paraId="4FE2010D" w14:textId="77777777" w:rsidTr="003D0F97">
        <w:trPr>
          <w:trHeight w:val="456"/>
        </w:trPr>
        <w:tc>
          <w:tcPr>
            <w:tcW w:w="560" w:type="dxa"/>
            <w:tcBorders>
              <w:top w:val="nil"/>
              <w:left w:val="nil"/>
              <w:bottom w:val="single" w:sz="4" w:space="0" w:color="auto"/>
              <w:right w:val="single" w:sz="4" w:space="0" w:color="auto"/>
            </w:tcBorders>
          </w:tcPr>
          <w:p w14:paraId="5FE66F13" w14:textId="77777777" w:rsidR="00787894" w:rsidRDefault="00787894" w:rsidP="00FE3F2E"/>
        </w:tc>
        <w:tc>
          <w:tcPr>
            <w:tcW w:w="12592" w:type="dxa"/>
            <w:gridSpan w:val="2"/>
            <w:tcBorders>
              <w:left w:val="single" w:sz="4" w:space="0" w:color="auto"/>
              <w:right w:val="single" w:sz="4" w:space="0" w:color="auto"/>
            </w:tcBorders>
            <w:shd w:val="clear" w:color="auto" w:fill="2F5496" w:themeFill="accent1" w:themeFillShade="BF"/>
          </w:tcPr>
          <w:p w14:paraId="0287CBEC" w14:textId="0D4E2ED5" w:rsidR="00787894" w:rsidRPr="000745F1" w:rsidRDefault="00705844" w:rsidP="00705844">
            <w:pPr>
              <w:jc w:val="center"/>
              <w:rPr>
                <w:b/>
                <w:bCs/>
              </w:rPr>
            </w:pPr>
            <w:r w:rsidRPr="000745F1">
              <w:rPr>
                <w:b/>
                <w:bCs/>
                <w:color w:val="FFFFFF" w:themeColor="background1"/>
              </w:rPr>
              <w:t>Internal Factors</w:t>
            </w:r>
          </w:p>
        </w:tc>
        <w:tc>
          <w:tcPr>
            <w:tcW w:w="498" w:type="dxa"/>
            <w:tcBorders>
              <w:top w:val="nil"/>
              <w:left w:val="single" w:sz="4" w:space="0" w:color="auto"/>
              <w:bottom w:val="single" w:sz="4" w:space="0" w:color="auto"/>
              <w:right w:val="nil"/>
            </w:tcBorders>
            <w:shd w:val="clear" w:color="auto" w:fill="auto"/>
          </w:tcPr>
          <w:p w14:paraId="2EA6CBB7" w14:textId="77777777" w:rsidR="00787894" w:rsidRDefault="00787894" w:rsidP="00FE3F2E"/>
        </w:tc>
      </w:tr>
      <w:tr w:rsidR="000745F1" w14:paraId="11623A47" w14:textId="77777777" w:rsidTr="003D0F97">
        <w:trPr>
          <w:trHeight w:val="4156"/>
        </w:trPr>
        <w:tc>
          <w:tcPr>
            <w:tcW w:w="560" w:type="dxa"/>
            <w:vMerge w:val="restart"/>
            <w:tcBorders>
              <w:top w:val="single" w:sz="4" w:space="0" w:color="auto"/>
            </w:tcBorders>
            <w:shd w:val="clear" w:color="auto" w:fill="538135" w:themeFill="accent6" w:themeFillShade="BF"/>
            <w:textDirection w:val="btLr"/>
          </w:tcPr>
          <w:p w14:paraId="2C4F2AD6" w14:textId="1453A568" w:rsidR="00787894" w:rsidRDefault="00787894" w:rsidP="002F41B8">
            <w:pPr>
              <w:ind w:left="113" w:right="113"/>
              <w:jc w:val="center"/>
            </w:pPr>
            <w:r w:rsidRPr="000745F1">
              <w:rPr>
                <w:b/>
                <w:bCs/>
                <w:color w:val="FFFFFF" w:themeColor="background1"/>
              </w:rPr>
              <w:t>Positive</w:t>
            </w:r>
          </w:p>
        </w:tc>
        <w:tc>
          <w:tcPr>
            <w:tcW w:w="6314" w:type="dxa"/>
          </w:tcPr>
          <w:p w14:paraId="27C24105" w14:textId="77777777" w:rsidR="00787894" w:rsidRDefault="00787894" w:rsidP="00FE3F2E">
            <w:r>
              <w:t>Strengths</w:t>
            </w:r>
          </w:p>
          <w:p w14:paraId="1196FC01" w14:textId="77777777" w:rsidR="006A2058" w:rsidRDefault="006A2058" w:rsidP="00FE3F2E"/>
          <w:p w14:paraId="742B28C8" w14:textId="58C7EE8E" w:rsidR="006A2058" w:rsidRDefault="006A2058" w:rsidP="00A61CED"/>
        </w:tc>
        <w:tc>
          <w:tcPr>
            <w:tcW w:w="6278" w:type="dxa"/>
          </w:tcPr>
          <w:p w14:paraId="36C88714" w14:textId="5882EB3D" w:rsidR="00787894" w:rsidRDefault="00787894" w:rsidP="00FE3F2E">
            <w:r>
              <w:t>Weaknesses</w:t>
            </w:r>
          </w:p>
        </w:tc>
        <w:tc>
          <w:tcPr>
            <w:tcW w:w="498" w:type="dxa"/>
            <w:vMerge w:val="restart"/>
            <w:tcBorders>
              <w:top w:val="single" w:sz="4" w:space="0" w:color="auto"/>
            </w:tcBorders>
            <w:shd w:val="clear" w:color="auto" w:fill="FF0000"/>
            <w:textDirection w:val="tbRl"/>
          </w:tcPr>
          <w:p w14:paraId="45F2DF02" w14:textId="0C89DCDA" w:rsidR="00787894" w:rsidRPr="000745F1" w:rsidRDefault="000745F1" w:rsidP="002F41B8">
            <w:pPr>
              <w:ind w:left="113" w:right="113"/>
              <w:jc w:val="center"/>
              <w:rPr>
                <w:b/>
                <w:bCs/>
              </w:rPr>
            </w:pPr>
            <w:r w:rsidRPr="000745F1">
              <w:rPr>
                <w:b/>
                <w:bCs/>
                <w:color w:val="FFFFFF" w:themeColor="background1"/>
              </w:rPr>
              <w:t>N</w:t>
            </w:r>
            <w:r w:rsidR="00787894" w:rsidRPr="000745F1">
              <w:rPr>
                <w:b/>
                <w:bCs/>
                <w:color w:val="FFFFFF" w:themeColor="background1"/>
              </w:rPr>
              <w:t>egative</w:t>
            </w:r>
          </w:p>
        </w:tc>
      </w:tr>
      <w:tr w:rsidR="000745F1" w14:paraId="308D1B8D" w14:textId="77777777" w:rsidTr="003D0F97">
        <w:trPr>
          <w:trHeight w:val="4405"/>
        </w:trPr>
        <w:tc>
          <w:tcPr>
            <w:tcW w:w="560" w:type="dxa"/>
            <w:vMerge/>
            <w:tcBorders>
              <w:bottom w:val="single" w:sz="4" w:space="0" w:color="auto"/>
            </w:tcBorders>
            <w:shd w:val="clear" w:color="auto" w:fill="538135" w:themeFill="accent6" w:themeFillShade="BF"/>
          </w:tcPr>
          <w:p w14:paraId="00627483" w14:textId="77777777" w:rsidR="00787894" w:rsidRDefault="00787894" w:rsidP="00FE3F2E"/>
        </w:tc>
        <w:tc>
          <w:tcPr>
            <w:tcW w:w="6314" w:type="dxa"/>
            <w:tcBorders>
              <w:bottom w:val="single" w:sz="4" w:space="0" w:color="auto"/>
            </w:tcBorders>
          </w:tcPr>
          <w:p w14:paraId="5C1C7A57" w14:textId="2E6AA3D2" w:rsidR="00787894" w:rsidRDefault="00705844" w:rsidP="00FE3F2E">
            <w:r>
              <w:t>Opportunities</w:t>
            </w:r>
          </w:p>
        </w:tc>
        <w:tc>
          <w:tcPr>
            <w:tcW w:w="6278" w:type="dxa"/>
            <w:tcBorders>
              <w:bottom w:val="single" w:sz="4" w:space="0" w:color="auto"/>
            </w:tcBorders>
          </w:tcPr>
          <w:p w14:paraId="4B8E30A6" w14:textId="269D7F68" w:rsidR="00787894" w:rsidRDefault="00705844" w:rsidP="00FE3F2E">
            <w:r>
              <w:t>Threats</w:t>
            </w:r>
          </w:p>
        </w:tc>
        <w:tc>
          <w:tcPr>
            <w:tcW w:w="498" w:type="dxa"/>
            <w:vMerge/>
            <w:tcBorders>
              <w:bottom w:val="single" w:sz="4" w:space="0" w:color="auto"/>
            </w:tcBorders>
            <w:shd w:val="clear" w:color="auto" w:fill="FF0000"/>
          </w:tcPr>
          <w:p w14:paraId="28ED3EC0" w14:textId="77777777" w:rsidR="00787894" w:rsidRDefault="00787894" w:rsidP="00FE3F2E"/>
        </w:tc>
      </w:tr>
      <w:tr w:rsidR="000745F1" w14:paraId="75C36013" w14:textId="77777777" w:rsidTr="003D0F97">
        <w:trPr>
          <w:trHeight w:val="416"/>
        </w:trPr>
        <w:tc>
          <w:tcPr>
            <w:tcW w:w="560" w:type="dxa"/>
            <w:tcBorders>
              <w:top w:val="single" w:sz="4" w:space="0" w:color="auto"/>
              <w:left w:val="nil"/>
              <w:bottom w:val="nil"/>
              <w:right w:val="single" w:sz="4" w:space="0" w:color="auto"/>
            </w:tcBorders>
          </w:tcPr>
          <w:p w14:paraId="3066B4DC" w14:textId="77777777" w:rsidR="00787894" w:rsidRDefault="00787894" w:rsidP="00FE3F2E"/>
        </w:tc>
        <w:tc>
          <w:tcPr>
            <w:tcW w:w="12592" w:type="dxa"/>
            <w:gridSpan w:val="2"/>
            <w:tcBorders>
              <w:left w:val="single" w:sz="4" w:space="0" w:color="auto"/>
              <w:right w:val="single" w:sz="4" w:space="0" w:color="auto"/>
            </w:tcBorders>
            <w:shd w:val="clear" w:color="auto" w:fill="2E74B5" w:themeFill="accent5" w:themeFillShade="BF"/>
          </w:tcPr>
          <w:p w14:paraId="63CFF460" w14:textId="1DF0AB01" w:rsidR="00787894" w:rsidRDefault="000745F1" w:rsidP="000745F1">
            <w:pPr>
              <w:jc w:val="center"/>
            </w:pPr>
            <w:r w:rsidRPr="000745F1">
              <w:rPr>
                <w:b/>
                <w:bCs/>
                <w:color w:val="FFFFFF" w:themeColor="background1"/>
              </w:rPr>
              <w:t>External Factors</w:t>
            </w:r>
          </w:p>
        </w:tc>
        <w:tc>
          <w:tcPr>
            <w:tcW w:w="498" w:type="dxa"/>
            <w:tcBorders>
              <w:top w:val="single" w:sz="4" w:space="0" w:color="auto"/>
              <w:left w:val="single" w:sz="4" w:space="0" w:color="auto"/>
              <w:bottom w:val="nil"/>
              <w:right w:val="nil"/>
            </w:tcBorders>
          </w:tcPr>
          <w:p w14:paraId="3BDF04AE" w14:textId="77777777" w:rsidR="00787894" w:rsidRDefault="00787894" w:rsidP="00FE3F2E"/>
        </w:tc>
      </w:tr>
    </w:tbl>
    <w:p w14:paraId="09D7C8D9" w14:textId="37FB66C4" w:rsidR="00FE3F2E" w:rsidRDefault="00FE3F2E" w:rsidP="000745F1"/>
    <w:sectPr w:rsidR="00FE3F2E" w:rsidSect="000745F1">
      <w:pgSz w:w="15840" w:h="12240" w:orient="landscape"/>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7245"/>
    <w:multiLevelType w:val="hybridMultilevel"/>
    <w:tmpl w:val="028AE766"/>
    <w:lvl w:ilvl="0" w:tplc="4FEEC72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14126A"/>
    <w:multiLevelType w:val="hybridMultilevel"/>
    <w:tmpl w:val="6A6AD6B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81434717">
    <w:abstractNumId w:val="1"/>
  </w:num>
  <w:num w:numId="2" w16cid:durableId="823814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2E"/>
    <w:rsid w:val="000745F1"/>
    <w:rsid w:val="000D019A"/>
    <w:rsid w:val="001A36D0"/>
    <w:rsid w:val="002F41B8"/>
    <w:rsid w:val="00393266"/>
    <w:rsid w:val="003D0F97"/>
    <w:rsid w:val="004268CA"/>
    <w:rsid w:val="004D04C8"/>
    <w:rsid w:val="006A2058"/>
    <w:rsid w:val="006C10EE"/>
    <w:rsid w:val="00705844"/>
    <w:rsid w:val="00787894"/>
    <w:rsid w:val="00833633"/>
    <w:rsid w:val="008E1294"/>
    <w:rsid w:val="009D2DD7"/>
    <w:rsid w:val="00A10F71"/>
    <w:rsid w:val="00A61CED"/>
    <w:rsid w:val="00B640D2"/>
    <w:rsid w:val="00BC6D4E"/>
    <w:rsid w:val="00BE321E"/>
    <w:rsid w:val="00D12B46"/>
    <w:rsid w:val="00E34A49"/>
    <w:rsid w:val="00E90A7C"/>
    <w:rsid w:val="00E92E73"/>
    <w:rsid w:val="00E977AC"/>
    <w:rsid w:val="00F337E7"/>
    <w:rsid w:val="00FE3F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266D"/>
  <w15:chartTrackingRefBased/>
  <w15:docId w15:val="{AF8FDB26-8126-4B18-9CE7-D464BAC0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F2E"/>
    <w:pPr>
      <w:ind w:left="720"/>
      <w:contextualSpacing/>
    </w:pPr>
  </w:style>
  <w:style w:type="character" w:styleId="Hyperlink">
    <w:name w:val="Hyperlink"/>
    <w:basedOn w:val="DefaultParagraphFont"/>
    <w:uiPriority w:val="99"/>
    <w:unhideWhenUsed/>
    <w:rsid w:val="00FE3F2E"/>
    <w:rPr>
      <w:color w:val="0563C1" w:themeColor="hyperlink"/>
      <w:u w:val="single"/>
    </w:rPr>
  </w:style>
  <w:style w:type="character" w:styleId="UnresolvedMention">
    <w:name w:val="Unresolved Mention"/>
    <w:basedOn w:val="DefaultParagraphFont"/>
    <w:uiPriority w:val="99"/>
    <w:semiHidden/>
    <w:unhideWhenUsed/>
    <w:rsid w:val="00FE3F2E"/>
    <w:rPr>
      <w:color w:val="605E5C"/>
      <w:shd w:val="clear" w:color="auto" w:fill="E1DFDD"/>
    </w:rPr>
  </w:style>
  <w:style w:type="table" w:styleId="TableGrid">
    <w:name w:val="Table Grid"/>
    <w:basedOn w:val="TableNormal"/>
    <w:uiPriority w:val="39"/>
    <w:rsid w:val="00F33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45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nancemagnates.com/trending/amc-investment-strategies-has-the-hype-officially-died/" TargetMode="External"/><Relationship Id="rId5" Type="http://schemas.openxmlformats.org/officeDocument/2006/relationships/hyperlink" Target="https://www.cnbc.com/quotes/A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Campanis,George</dc:creator>
  <cp:keywords/>
  <dc:description/>
  <cp:lastModifiedBy>Campanis,George</cp:lastModifiedBy>
  <cp:revision>7</cp:revision>
  <dcterms:created xsi:type="dcterms:W3CDTF">2023-10-05T15:19:00Z</dcterms:created>
  <dcterms:modified xsi:type="dcterms:W3CDTF">2023-10-05T15:39:00Z</dcterms:modified>
</cp:coreProperties>
</file>