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608A" w14:textId="62C72128" w:rsidR="00D12B46" w:rsidRDefault="00FE3F2E">
      <w:r>
        <w:t>Assignment 1 – Conduct a SWOT Analysis</w:t>
      </w:r>
    </w:p>
    <w:p w14:paraId="6EDBC21E" w14:textId="77777777" w:rsidR="00FE3F2E" w:rsidRDefault="00FE3F2E"/>
    <w:p w14:paraId="0E58B4F7" w14:textId="389A7BF8" w:rsidR="005D049C" w:rsidRDefault="006C362A" w:rsidP="00FE3F2E">
      <w:pPr>
        <w:jc w:val="both"/>
        <w:rPr>
          <w:rFonts w:ascii="Roboto" w:hAnsi="Roboto"/>
          <w:spacing w:val="5"/>
          <w:sz w:val="18"/>
          <w:szCs w:val="18"/>
          <w:shd w:val="clear" w:color="auto" w:fill="FFFFFF"/>
        </w:rPr>
      </w:pPr>
      <w:r>
        <w:rPr>
          <w:rFonts w:ascii="Roboto" w:hAnsi="Roboto"/>
          <w:spacing w:val="5"/>
          <w:sz w:val="18"/>
          <w:szCs w:val="18"/>
          <w:shd w:val="clear" w:color="auto" w:fill="FFFFFF"/>
        </w:rPr>
        <w:t>Empire Company Limited</w:t>
      </w:r>
      <w:r w:rsidR="005630A2">
        <w:rPr>
          <w:rFonts w:ascii="Roboto" w:hAnsi="Roboto"/>
          <w:spacing w:val="5"/>
          <w:sz w:val="18"/>
          <w:szCs w:val="18"/>
          <w:shd w:val="clear" w:color="auto" w:fill="FFFFFF"/>
        </w:rPr>
        <w:t xml:space="preserve"> (Sobey’s)</w:t>
      </w:r>
    </w:p>
    <w:p w14:paraId="7C4B7BFE" w14:textId="6DEF0787" w:rsidR="004C567E" w:rsidRDefault="004C567E" w:rsidP="00F83F20">
      <w:pPr>
        <w:jc w:val="both"/>
        <w:rPr>
          <w:rFonts w:ascii="Roboto" w:hAnsi="Roboto"/>
          <w:spacing w:val="5"/>
          <w:sz w:val="18"/>
          <w:szCs w:val="18"/>
          <w:shd w:val="clear" w:color="auto" w:fill="FFFFFF"/>
        </w:rPr>
      </w:pPr>
      <w:r w:rsidRPr="004C567E">
        <w:rPr>
          <w:rFonts w:ascii="Roboto" w:hAnsi="Roboto"/>
          <w:spacing w:val="5"/>
          <w:sz w:val="18"/>
          <w:szCs w:val="18"/>
          <w:shd w:val="clear" w:color="auto" w:fill="FFFFFF"/>
        </w:rPr>
        <w:t xml:space="preserve">Empire Company Limited is a Canadian conglomerate engaged mostly in food retail and corporate investments. Founded in 1963, the company is headquartered in </w:t>
      </w:r>
      <w:proofErr w:type="spellStart"/>
      <w:r w:rsidRPr="004C567E">
        <w:rPr>
          <w:rFonts w:ascii="Roboto" w:hAnsi="Roboto"/>
          <w:spacing w:val="5"/>
          <w:sz w:val="18"/>
          <w:szCs w:val="18"/>
          <w:shd w:val="clear" w:color="auto" w:fill="FFFFFF"/>
        </w:rPr>
        <w:t>Stellarton</w:t>
      </w:r>
      <w:proofErr w:type="spellEnd"/>
      <w:r w:rsidRPr="004C567E">
        <w:rPr>
          <w:rFonts w:ascii="Roboto" w:hAnsi="Roboto"/>
          <w:spacing w:val="5"/>
          <w:sz w:val="18"/>
          <w:szCs w:val="18"/>
          <w:shd w:val="clear" w:color="auto" w:fill="FFFFFF"/>
        </w:rPr>
        <w:t xml:space="preserve">, Nova Scotia and owns the Sobeys supermarket chain. In total, the company owns, affiliates or franchises more than 1,500 stores; in addition to Sobeys, brands include Safeway, IGA, Foodland, Farm Boy, </w:t>
      </w:r>
      <w:proofErr w:type="spellStart"/>
      <w:r w:rsidRPr="004C567E">
        <w:rPr>
          <w:rFonts w:ascii="Roboto" w:hAnsi="Roboto"/>
          <w:spacing w:val="5"/>
          <w:sz w:val="18"/>
          <w:szCs w:val="18"/>
          <w:shd w:val="clear" w:color="auto" w:fill="FFFFFF"/>
        </w:rPr>
        <w:t>FreshCo</w:t>
      </w:r>
      <w:proofErr w:type="spellEnd"/>
      <w:r w:rsidRPr="004C567E">
        <w:rPr>
          <w:rFonts w:ascii="Roboto" w:hAnsi="Roboto"/>
          <w:spacing w:val="5"/>
          <w:sz w:val="18"/>
          <w:szCs w:val="18"/>
          <w:shd w:val="clear" w:color="auto" w:fill="FFFFFF"/>
        </w:rPr>
        <w:t xml:space="preserve">, Thrifty Foods and </w:t>
      </w:r>
      <w:proofErr w:type="spellStart"/>
      <w:r w:rsidRPr="004C567E">
        <w:rPr>
          <w:rFonts w:ascii="Roboto" w:hAnsi="Roboto"/>
          <w:spacing w:val="5"/>
          <w:sz w:val="18"/>
          <w:szCs w:val="18"/>
          <w:shd w:val="clear" w:color="auto" w:fill="FFFFFF"/>
        </w:rPr>
        <w:t>Lawtons</w:t>
      </w:r>
      <w:proofErr w:type="spellEnd"/>
      <w:r w:rsidRPr="004C567E">
        <w:rPr>
          <w:rFonts w:ascii="Roboto" w:hAnsi="Roboto"/>
          <w:spacing w:val="5"/>
          <w:sz w:val="18"/>
          <w:szCs w:val="18"/>
          <w:shd w:val="clear" w:color="auto" w:fill="FFFFFF"/>
        </w:rPr>
        <w:t xml:space="preserve"> Drug.</w:t>
      </w:r>
      <w:r w:rsidRPr="004C567E">
        <w:rPr>
          <w:rFonts w:ascii="Roboto" w:hAnsi="Roboto"/>
          <w:spacing w:val="5"/>
          <w:sz w:val="18"/>
          <w:szCs w:val="18"/>
          <w:shd w:val="clear" w:color="auto" w:fill="FFFFFF"/>
        </w:rPr>
        <w:t xml:space="preserve"> </w:t>
      </w:r>
    </w:p>
    <w:p w14:paraId="70ADFEBF" w14:textId="78963991" w:rsidR="00F83F20" w:rsidRDefault="00FE3F2E" w:rsidP="00FE3F2E">
      <w:pPr>
        <w:rPr>
          <w:rFonts w:ascii="Roboto" w:hAnsi="Roboto"/>
          <w:spacing w:val="5"/>
          <w:sz w:val="18"/>
          <w:szCs w:val="18"/>
          <w:shd w:val="clear" w:color="auto" w:fill="FFFFFF"/>
        </w:rPr>
      </w:pPr>
      <w:r>
        <w:rPr>
          <w:rFonts w:ascii="Roboto" w:hAnsi="Roboto"/>
          <w:spacing w:val="5"/>
          <w:sz w:val="18"/>
          <w:szCs w:val="18"/>
          <w:shd w:val="clear" w:color="auto" w:fill="FFFFFF"/>
        </w:rPr>
        <w:t xml:space="preserve">Sources: </w:t>
      </w:r>
      <w:hyperlink r:id="rId5" w:history="1">
        <w:r w:rsidR="00F83F20" w:rsidRPr="00ED5C40">
          <w:rPr>
            <w:rStyle w:val="Hyperlink"/>
            <w:rFonts w:ascii="Roboto" w:hAnsi="Roboto"/>
            <w:spacing w:val="5"/>
            <w:sz w:val="18"/>
            <w:szCs w:val="18"/>
            <w:shd w:val="clear" w:color="auto" w:fill="FFFFFF"/>
          </w:rPr>
          <w:t>https://en.wikipedia.org/wiki/Empire_Company</w:t>
        </w:r>
      </w:hyperlink>
    </w:p>
    <w:p w14:paraId="21736558" w14:textId="29565956" w:rsidR="006C362A" w:rsidRDefault="00E977AC" w:rsidP="00FE3F2E">
      <w:pPr>
        <w:rPr>
          <w:rFonts w:ascii="Roboto" w:hAnsi="Roboto"/>
          <w:spacing w:val="5"/>
          <w:sz w:val="18"/>
          <w:szCs w:val="18"/>
          <w:shd w:val="clear" w:color="auto" w:fill="FFFFFF"/>
        </w:rPr>
      </w:pPr>
      <w:r>
        <w:rPr>
          <w:rFonts w:ascii="Roboto" w:hAnsi="Roboto"/>
          <w:spacing w:val="5"/>
          <w:sz w:val="18"/>
          <w:szCs w:val="18"/>
          <w:shd w:val="clear" w:color="auto" w:fill="FFFFFF"/>
        </w:rPr>
        <w:t>The C</w:t>
      </w:r>
      <w:r w:rsidR="001A36D0">
        <w:rPr>
          <w:rFonts w:ascii="Roboto" w:hAnsi="Roboto"/>
          <w:spacing w:val="5"/>
          <w:sz w:val="18"/>
          <w:szCs w:val="18"/>
          <w:shd w:val="clear" w:color="auto" w:fill="FFFFFF"/>
        </w:rPr>
        <w:t xml:space="preserve">hallenge: </w:t>
      </w:r>
      <w:hyperlink r:id="rId6" w:history="1">
        <w:r w:rsidR="006C362A" w:rsidRPr="00ED5C40">
          <w:rPr>
            <w:rStyle w:val="Hyperlink"/>
            <w:rFonts w:ascii="Roboto" w:hAnsi="Roboto"/>
            <w:spacing w:val="5"/>
            <w:sz w:val="18"/>
            <w:szCs w:val="18"/>
            <w:shd w:val="clear" w:color="auto" w:fill="FFFFFF"/>
          </w:rPr>
          <w:t>https://ised-isde.canada.ca/site/competition-bureau-canada/en/how-we-foster-competition/education-and-outreach/canada-needs-more-grocery-competition</w:t>
        </w:r>
      </w:hyperlink>
    </w:p>
    <w:p w14:paraId="263E4FEF" w14:textId="77777777" w:rsidR="00A225AB" w:rsidRDefault="00A225AB" w:rsidP="00FE3F2E">
      <w:pPr>
        <w:rPr>
          <w:rFonts w:ascii="Roboto" w:hAnsi="Roboto"/>
          <w:spacing w:val="5"/>
          <w:sz w:val="18"/>
          <w:szCs w:val="18"/>
          <w:shd w:val="clear" w:color="auto" w:fill="FFFFFF"/>
        </w:rPr>
      </w:pPr>
    </w:p>
    <w:p w14:paraId="428F0CED" w14:textId="363B9134" w:rsidR="00B640D2" w:rsidRDefault="00B640D2" w:rsidP="00FE3F2E">
      <w:pPr>
        <w:rPr>
          <w:rFonts w:ascii="Roboto" w:hAnsi="Roboto"/>
          <w:spacing w:val="5"/>
          <w:sz w:val="18"/>
          <w:szCs w:val="18"/>
          <w:shd w:val="clear" w:color="auto" w:fill="FFFFFF"/>
        </w:rPr>
      </w:pPr>
      <w:r>
        <w:rPr>
          <w:rFonts w:ascii="Roboto" w:hAnsi="Roboto"/>
          <w:spacing w:val="5"/>
          <w:sz w:val="18"/>
          <w:szCs w:val="18"/>
          <w:shd w:val="clear" w:color="auto" w:fill="FFFFFF"/>
        </w:rPr>
        <w:t>Group Members:</w:t>
      </w:r>
    </w:p>
    <w:p w14:paraId="4EF75CBA" w14:textId="066C0657" w:rsidR="00B640D2" w:rsidRDefault="00B640D2" w:rsidP="00FE3F2E">
      <w:pPr>
        <w:rPr>
          <w:rFonts w:ascii="Roboto" w:hAnsi="Roboto"/>
          <w:spacing w:val="5"/>
          <w:sz w:val="18"/>
          <w:szCs w:val="18"/>
          <w:shd w:val="clear" w:color="auto" w:fill="FFFFFF"/>
        </w:rPr>
      </w:pPr>
    </w:p>
    <w:p w14:paraId="271EECE7" w14:textId="65C093B5" w:rsidR="00393266" w:rsidRDefault="00A10F71" w:rsidP="00FE3F2E">
      <w:pPr>
        <w:sectPr w:rsidR="00393266" w:rsidSect="00A10F7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0E6BE2E0" w14:textId="6FD2F946" w:rsidR="009D2DD7" w:rsidRDefault="003D0F97" w:rsidP="009D2DD7">
      <w:pPr>
        <w:spacing w:line="204" w:lineRule="auto"/>
        <w:rPr>
          <w:rFonts w:asciiTheme="majorHAnsi" w:eastAsiaTheme="majorEastAsia" w:hAnsi="Calibri Light" w:cstheme="majorBidi"/>
          <w:b/>
          <w:bCs/>
          <w:color w:val="ED7D31" w:themeColor="accent2"/>
          <w:kern w:val="24"/>
          <w:sz w:val="64"/>
          <w:szCs w:val="64"/>
          <w14:ligatures w14:val="none"/>
        </w:rPr>
      </w:pPr>
      <w:r>
        <w:rPr>
          <w:rFonts w:asciiTheme="majorHAnsi" w:eastAsiaTheme="majorEastAsia" w:hAnsi="Calibri Light" w:cstheme="majorBidi"/>
          <w:b/>
          <w:bCs/>
          <w:color w:val="ED7D31" w:themeColor="accent2"/>
          <w:kern w:val="24"/>
          <w:sz w:val="64"/>
          <w:szCs w:val="64"/>
        </w:rPr>
        <w:lastRenderedPageBreak/>
        <w:t xml:space="preserve">            </w:t>
      </w:r>
      <w:r w:rsidR="000D019A">
        <w:rPr>
          <w:rFonts w:asciiTheme="majorHAnsi" w:eastAsiaTheme="majorEastAsia" w:hAnsi="Calibri Light" w:cstheme="majorBidi"/>
          <w:b/>
          <w:bCs/>
          <w:color w:val="ED7D31" w:themeColor="accent2"/>
          <w:kern w:val="24"/>
          <w:sz w:val="64"/>
          <w:szCs w:val="64"/>
        </w:rPr>
        <w:t xml:space="preserve">                                    </w:t>
      </w:r>
      <w:r w:rsidR="009D2DD7">
        <w:rPr>
          <w:rFonts w:asciiTheme="majorHAnsi" w:eastAsiaTheme="majorEastAsia" w:hAnsi="Calibri Light" w:cstheme="majorBidi"/>
          <w:b/>
          <w:bCs/>
          <w:color w:val="ED7D31" w:themeColor="accent2"/>
          <w:kern w:val="24"/>
          <w:sz w:val="64"/>
          <w:szCs w:val="64"/>
        </w:rPr>
        <w:t>SWOT</w:t>
      </w:r>
    </w:p>
    <w:p w14:paraId="7D509F75" w14:textId="3614100A" w:rsidR="009D2DD7" w:rsidRDefault="003D0F97" w:rsidP="000745F1">
      <w:pPr>
        <w:pStyle w:val="Heading1"/>
      </w:pPr>
      <w:r>
        <w:rPr>
          <w:lang w:val="en-US"/>
        </w:rPr>
        <w:t xml:space="preserve">                    </w:t>
      </w:r>
      <w:r w:rsidR="009D2DD7">
        <w:rPr>
          <w:lang w:val="en-US"/>
        </w:rPr>
        <w:t>I</w:t>
      </w:r>
      <w:proofErr w:type="spellStart"/>
      <w:r w:rsidR="009D2DD7">
        <w:t>dentify</w:t>
      </w:r>
      <w:proofErr w:type="spellEnd"/>
      <w:r w:rsidR="009D2DD7">
        <w:t xml:space="preserve"> Strengths, Weaknesses, Opportunities, and Threats</w:t>
      </w:r>
    </w:p>
    <w:p w14:paraId="05C61C41" w14:textId="77777777" w:rsidR="00A61CED" w:rsidRPr="00A61CED" w:rsidRDefault="00A61CED" w:rsidP="00A61CED"/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560"/>
        <w:gridCol w:w="6314"/>
        <w:gridCol w:w="6278"/>
        <w:gridCol w:w="498"/>
      </w:tblGrid>
      <w:tr w:rsidR="000745F1" w14:paraId="4FE2010D" w14:textId="77777777" w:rsidTr="003D0F97">
        <w:trPr>
          <w:trHeight w:val="456"/>
        </w:trPr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66F13" w14:textId="77777777" w:rsidR="00787894" w:rsidRDefault="00787894" w:rsidP="00FE3F2E"/>
        </w:tc>
        <w:tc>
          <w:tcPr>
            <w:tcW w:w="1259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0287CBEC" w14:textId="0D4E2ED5" w:rsidR="00787894" w:rsidRPr="000745F1" w:rsidRDefault="00705844" w:rsidP="00705844">
            <w:pPr>
              <w:jc w:val="center"/>
              <w:rPr>
                <w:b/>
                <w:bCs/>
              </w:rPr>
            </w:pPr>
            <w:r w:rsidRPr="000745F1">
              <w:rPr>
                <w:b/>
                <w:bCs/>
                <w:color w:val="FFFFFF" w:themeColor="background1"/>
              </w:rPr>
              <w:t>Internal Factors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EA6CBB7" w14:textId="77777777" w:rsidR="00787894" w:rsidRDefault="00787894" w:rsidP="00FE3F2E"/>
        </w:tc>
      </w:tr>
      <w:tr w:rsidR="000745F1" w14:paraId="11623A47" w14:textId="77777777" w:rsidTr="003D0F97">
        <w:trPr>
          <w:trHeight w:val="4156"/>
        </w:trPr>
        <w:tc>
          <w:tcPr>
            <w:tcW w:w="560" w:type="dxa"/>
            <w:vMerge w:val="restart"/>
            <w:tcBorders>
              <w:top w:val="single" w:sz="4" w:space="0" w:color="auto"/>
            </w:tcBorders>
            <w:shd w:val="clear" w:color="auto" w:fill="538135" w:themeFill="accent6" w:themeFillShade="BF"/>
            <w:textDirection w:val="btLr"/>
          </w:tcPr>
          <w:p w14:paraId="2C4F2AD6" w14:textId="1453A568" w:rsidR="00787894" w:rsidRDefault="00787894" w:rsidP="002F41B8">
            <w:pPr>
              <w:ind w:left="113" w:right="113"/>
              <w:jc w:val="center"/>
            </w:pPr>
            <w:r w:rsidRPr="000745F1">
              <w:rPr>
                <w:b/>
                <w:bCs/>
                <w:color w:val="FFFFFF" w:themeColor="background1"/>
              </w:rPr>
              <w:t>Positive</w:t>
            </w:r>
          </w:p>
        </w:tc>
        <w:tc>
          <w:tcPr>
            <w:tcW w:w="6314" w:type="dxa"/>
          </w:tcPr>
          <w:p w14:paraId="27C24105" w14:textId="77777777" w:rsidR="00787894" w:rsidRDefault="00787894" w:rsidP="00FE3F2E">
            <w:r>
              <w:t>Strengths</w:t>
            </w:r>
          </w:p>
          <w:p w14:paraId="1196FC01" w14:textId="77777777" w:rsidR="006A2058" w:rsidRDefault="006A2058" w:rsidP="00FE3F2E"/>
          <w:p w14:paraId="742B28C8" w14:textId="58C7EE8E" w:rsidR="006A2058" w:rsidRDefault="006A2058" w:rsidP="00A61CED"/>
        </w:tc>
        <w:tc>
          <w:tcPr>
            <w:tcW w:w="6278" w:type="dxa"/>
          </w:tcPr>
          <w:p w14:paraId="36C88714" w14:textId="5882EB3D" w:rsidR="00787894" w:rsidRDefault="00787894" w:rsidP="00FE3F2E">
            <w:r>
              <w:t>Weaknesses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</w:tcBorders>
            <w:shd w:val="clear" w:color="auto" w:fill="FF0000"/>
            <w:textDirection w:val="tbRl"/>
          </w:tcPr>
          <w:p w14:paraId="45F2DF02" w14:textId="0C89DCDA" w:rsidR="00787894" w:rsidRPr="000745F1" w:rsidRDefault="000745F1" w:rsidP="002F41B8">
            <w:pPr>
              <w:ind w:left="113" w:right="113"/>
              <w:jc w:val="center"/>
              <w:rPr>
                <w:b/>
                <w:bCs/>
              </w:rPr>
            </w:pPr>
            <w:r w:rsidRPr="000745F1">
              <w:rPr>
                <w:b/>
                <w:bCs/>
                <w:color w:val="FFFFFF" w:themeColor="background1"/>
              </w:rPr>
              <w:t>N</w:t>
            </w:r>
            <w:r w:rsidR="00787894" w:rsidRPr="000745F1">
              <w:rPr>
                <w:b/>
                <w:bCs/>
                <w:color w:val="FFFFFF" w:themeColor="background1"/>
              </w:rPr>
              <w:t>egative</w:t>
            </w:r>
          </w:p>
        </w:tc>
      </w:tr>
      <w:tr w:rsidR="000745F1" w14:paraId="308D1B8D" w14:textId="77777777" w:rsidTr="003D0F97">
        <w:trPr>
          <w:trHeight w:val="4405"/>
        </w:trPr>
        <w:tc>
          <w:tcPr>
            <w:tcW w:w="560" w:type="dxa"/>
            <w:vMerge/>
            <w:tcBorders>
              <w:bottom w:val="single" w:sz="4" w:space="0" w:color="auto"/>
            </w:tcBorders>
            <w:shd w:val="clear" w:color="auto" w:fill="538135" w:themeFill="accent6" w:themeFillShade="BF"/>
          </w:tcPr>
          <w:p w14:paraId="00627483" w14:textId="77777777" w:rsidR="00787894" w:rsidRDefault="00787894" w:rsidP="00FE3F2E"/>
        </w:tc>
        <w:tc>
          <w:tcPr>
            <w:tcW w:w="6314" w:type="dxa"/>
            <w:tcBorders>
              <w:bottom w:val="single" w:sz="4" w:space="0" w:color="auto"/>
            </w:tcBorders>
          </w:tcPr>
          <w:p w14:paraId="5C1C7A57" w14:textId="2E6AA3D2" w:rsidR="00787894" w:rsidRDefault="00705844" w:rsidP="00FE3F2E">
            <w:r>
              <w:t>Opportunities</w:t>
            </w:r>
          </w:p>
        </w:tc>
        <w:tc>
          <w:tcPr>
            <w:tcW w:w="6278" w:type="dxa"/>
            <w:tcBorders>
              <w:bottom w:val="single" w:sz="4" w:space="0" w:color="auto"/>
            </w:tcBorders>
          </w:tcPr>
          <w:p w14:paraId="4B8E30A6" w14:textId="269D7F68" w:rsidR="00787894" w:rsidRDefault="00705844" w:rsidP="00FE3F2E">
            <w:r>
              <w:t>Threats</w:t>
            </w:r>
          </w:p>
        </w:tc>
        <w:tc>
          <w:tcPr>
            <w:tcW w:w="498" w:type="dxa"/>
            <w:vMerge/>
            <w:tcBorders>
              <w:bottom w:val="single" w:sz="4" w:space="0" w:color="auto"/>
            </w:tcBorders>
            <w:shd w:val="clear" w:color="auto" w:fill="FF0000"/>
          </w:tcPr>
          <w:p w14:paraId="28ED3EC0" w14:textId="77777777" w:rsidR="00787894" w:rsidRDefault="00787894" w:rsidP="00FE3F2E"/>
        </w:tc>
      </w:tr>
      <w:tr w:rsidR="000745F1" w14:paraId="75C36013" w14:textId="77777777" w:rsidTr="003D0F97">
        <w:trPr>
          <w:trHeight w:val="416"/>
        </w:trPr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066B4DC" w14:textId="77777777" w:rsidR="00787894" w:rsidRDefault="00787894" w:rsidP="00FE3F2E"/>
        </w:tc>
        <w:tc>
          <w:tcPr>
            <w:tcW w:w="1259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63CFF460" w14:textId="1DF0AB01" w:rsidR="00787894" w:rsidRDefault="000745F1" w:rsidP="000745F1">
            <w:pPr>
              <w:jc w:val="center"/>
            </w:pPr>
            <w:r w:rsidRPr="000745F1">
              <w:rPr>
                <w:b/>
                <w:bCs/>
                <w:color w:val="FFFFFF" w:themeColor="background1"/>
              </w:rPr>
              <w:t>External Factors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DF04AE" w14:textId="77777777" w:rsidR="00787894" w:rsidRDefault="00787894" w:rsidP="00FE3F2E"/>
        </w:tc>
      </w:tr>
    </w:tbl>
    <w:p w14:paraId="09D7C8D9" w14:textId="37FB66C4" w:rsidR="00FE3F2E" w:rsidRDefault="00FE3F2E" w:rsidP="000745F1"/>
    <w:sectPr w:rsidR="00FE3F2E" w:rsidSect="000745F1">
      <w:pgSz w:w="15840" w:h="12240" w:orient="landscape"/>
      <w:pgMar w:top="306" w:right="306" w:bottom="306" w:left="30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7245"/>
    <w:multiLevelType w:val="hybridMultilevel"/>
    <w:tmpl w:val="028AE766"/>
    <w:lvl w:ilvl="0" w:tplc="4FEEC7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4126A"/>
    <w:multiLevelType w:val="hybridMultilevel"/>
    <w:tmpl w:val="6A6AD6B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434717">
    <w:abstractNumId w:val="1"/>
  </w:num>
  <w:num w:numId="2" w16cid:durableId="82381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2E"/>
    <w:rsid w:val="000745F1"/>
    <w:rsid w:val="000C19EB"/>
    <w:rsid w:val="000D019A"/>
    <w:rsid w:val="001867B7"/>
    <w:rsid w:val="001A36D0"/>
    <w:rsid w:val="002F41B8"/>
    <w:rsid w:val="00393266"/>
    <w:rsid w:val="003D0F97"/>
    <w:rsid w:val="004268CA"/>
    <w:rsid w:val="004C567E"/>
    <w:rsid w:val="004D04C8"/>
    <w:rsid w:val="005630A2"/>
    <w:rsid w:val="005D049C"/>
    <w:rsid w:val="006A2058"/>
    <w:rsid w:val="006C10EE"/>
    <w:rsid w:val="006C362A"/>
    <w:rsid w:val="00705844"/>
    <w:rsid w:val="00787894"/>
    <w:rsid w:val="00833633"/>
    <w:rsid w:val="008E1294"/>
    <w:rsid w:val="009D2DD7"/>
    <w:rsid w:val="00A10F71"/>
    <w:rsid w:val="00A225AB"/>
    <w:rsid w:val="00A61CED"/>
    <w:rsid w:val="00B640D2"/>
    <w:rsid w:val="00BB53CB"/>
    <w:rsid w:val="00BC6D4E"/>
    <w:rsid w:val="00BE321E"/>
    <w:rsid w:val="00D12B46"/>
    <w:rsid w:val="00D9061F"/>
    <w:rsid w:val="00E34A49"/>
    <w:rsid w:val="00E92E73"/>
    <w:rsid w:val="00E977AC"/>
    <w:rsid w:val="00F337E7"/>
    <w:rsid w:val="00F83F20"/>
    <w:rsid w:val="00F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266D"/>
  <w15:chartTrackingRefBased/>
  <w15:docId w15:val="{AF8FDB26-8126-4B18-9CE7-D464BAC0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F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3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4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ed-isde.canada.ca/site/competition-bureau-canada/en/how-we-foster-competition/education-and-outreach/canada-needs-more-grocery-competition" TargetMode="External"/><Relationship Id="rId5" Type="http://schemas.openxmlformats.org/officeDocument/2006/relationships/hyperlink" Target="https://en.wikipedia.org/wiki/Empire_Compa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9</cp:revision>
  <dcterms:created xsi:type="dcterms:W3CDTF">2023-10-05T15:32:00Z</dcterms:created>
  <dcterms:modified xsi:type="dcterms:W3CDTF">2023-10-05T15:37:00Z</dcterms:modified>
</cp:coreProperties>
</file>