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608A" w14:textId="62C72128" w:rsidR="00D12B46" w:rsidRDefault="00FE3F2E">
      <w:r>
        <w:t>Assignment 1 – Conduct a SWOT Analysis</w:t>
      </w:r>
    </w:p>
    <w:p w14:paraId="6EDBC21E" w14:textId="77777777" w:rsidR="00FE3F2E" w:rsidRDefault="00FE3F2E"/>
    <w:p w14:paraId="10D74317" w14:textId="1D293F6A" w:rsidR="00FE3F2E" w:rsidRDefault="00FE3F2E" w:rsidP="00FE3F2E">
      <w:r>
        <w:t>GameStop</w:t>
      </w:r>
    </w:p>
    <w:p w14:paraId="0CF708F4" w14:textId="5B68A664" w:rsidR="00FE3F2E" w:rsidRDefault="00FE3F2E" w:rsidP="00FE3F2E">
      <w:pPr>
        <w:jc w:val="both"/>
        <w:rPr>
          <w:rFonts w:ascii="Roboto" w:hAnsi="Roboto"/>
          <w:spacing w:val="5"/>
          <w:sz w:val="18"/>
          <w:szCs w:val="18"/>
          <w:shd w:val="clear" w:color="auto" w:fill="FFFFFF"/>
        </w:rPr>
      </w:pPr>
      <w:r>
        <w:rPr>
          <w:rFonts w:ascii="Roboto" w:hAnsi="Roboto"/>
          <w:spacing w:val="5"/>
          <w:sz w:val="18"/>
          <w:szCs w:val="18"/>
          <w:shd w:val="clear" w:color="auto" w:fill="FFFFFF"/>
        </w:rPr>
        <w:t xml:space="preserve">GameStop Corp. is an American video game, consumer electronics, and gaming merchandise retailer. The company is headquartered in Grapevine, Texas, and is the largest video game retailer worldwide. As of 28 January 2023, the company operates 4,413 stores including 2,949 in the United States, 216 in Canada, 419 in Australia and 829 in Europe under the GameStop, EB Games, EB Games Australia, Micromania-Zing, ThinkGeek and Zing Pop Culture brands. The company was founded in Dallas in 1984 as </w:t>
      </w:r>
      <w:proofErr w:type="gramStart"/>
      <w:r>
        <w:rPr>
          <w:rFonts w:ascii="Roboto" w:hAnsi="Roboto"/>
          <w:spacing w:val="5"/>
          <w:sz w:val="18"/>
          <w:szCs w:val="18"/>
          <w:shd w:val="clear" w:color="auto" w:fill="FFFFFF"/>
        </w:rPr>
        <w:t>Babbage's, and</w:t>
      </w:r>
      <w:proofErr w:type="gramEnd"/>
      <w:r>
        <w:rPr>
          <w:rFonts w:ascii="Roboto" w:hAnsi="Roboto"/>
          <w:spacing w:val="5"/>
          <w:sz w:val="18"/>
          <w:szCs w:val="18"/>
          <w:shd w:val="clear" w:color="auto" w:fill="FFFFFF"/>
        </w:rPr>
        <w:t xml:space="preserve"> took on its current name in 1999. The company's performance declined during the mid-to-late 2010s due to the shift of video game sales to online shopping and failed investments by GameStop in smartphone retail. In 2021, after retail investors noticed that the short interest well exceeded the float, the company's stock price skyrocketed. According to the SEC report, this volatility was only in part due to the shorts covering their positions, but mostly thanks to the massive buying power of retail investors. The company received significant media attention during January and February 2021 due to the volatility of its stock price. The company is now ranked 521st on the Fortune 500</w:t>
      </w:r>
    </w:p>
    <w:p w14:paraId="663B85B0" w14:textId="77777777" w:rsidR="00FE3F2E" w:rsidRDefault="00FE3F2E" w:rsidP="00FE3F2E">
      <w:pPr>
        <w:rPr>
          <w:rFonts w:ascii="Roboto" w:hAnsi="Roboto"/>
          <w:spacing w:val="5"/>
          <w:sz w:val="18"/>
          <w:szCs w:val="18"/>
          <w:shd w:val="clear" w:color="auto" w:fill="FFFFFF"/>
        </w:rPr>
      </w:pPr>
    </w:p>
    <w:p w14:paraId="3F89FAE6" w14:textId="27263CAD" w:rsidR="00FE3F2E" w:rsidRDefault="00FE3F2E" w:rsidP="00FE3F2E">
      <w:pPr>
        <w:rPr>
          <w:rFonts w:ascii="Roboto" w:hAnsi="Roboto"/>
          <w:spacing w:val="5"/>
          <w:sz w:val="18"/>
          <w:szCs w:val="18"/>
          <w:shd w:val="clear" w:color="auto" w:fill="FFFFFF"/>
        </w:rPr>
      </w:pPr>
      <w:r>
        <w:rPr>
          <w:rFonts w:ascii="Roboto" w:hAnsi="Roboto"/>
          <w:spacing w:val="5"/>
          <w:sz w:val="18"/>
          <w:szCs w:val="18"/>
          <w:shd w:val="clear" w:color="auto" w:fill="FFFFFF"/>
        </w:rPr>
        <w:t xml:space="preserve">Sources: </w:t>
      </w:r>
      <w:hyperlink r:id="rId5" w:history="1">
        <w:r w:rsidRPr="0013079C">
          <w:rPr>
            <w:rStyle w:val="Hyperlink"/>
            <w:rFonts w:ascii="Roboto" w:hAnsi="Roboto"/>
            <w:spacing w:val="5"/>
            <w:sz w:val="18"/>
            <w:szCs w:val="18"/>
            <w:shd w:val="clear" w:color="auto" w:fill="FFFFFF"/>
          </w:rPr>
          <w:t>https://www.google.com/finance/quote/GME:NYSE</w:t>
        </w:r>
      </w:hyperlink>
    </w:p>
    <w:p w14:paraId="428F0CED" w14:textId="34146FBA" w:rsidR="00B640D2" w:rsidRDefault="00B640D2" w:rsidP="00FE3F2E">
      <w:pPr>
        <w:rPr>
          <w:rFonts w:ascii="Roboto" w:hAnsi="Roboto"/>
          <w:spacing w:val="5"/>
          <w:sz w:val="18"/>
          <w:szCs w:val="18"/>
          <w:shd w:val="clear" w:color="auto" w:fill="FFFFFF"/>
        </w:rPr>
      </w:pPr>
      <w:r>
        <w:rPr>
          <w:rFonts w:ascii="Roboto" w:hAnsi="Roboto"/>
          <w:spacing w:val="5"/>
          <w:sz w:val="18"/>
          <w:szCs w:val="18"/>
          <w:shd w:val="clear" w:color="auto" w:fill="FFFFFF"/>
        </w:rPr>
        <w:t>Group Members:</w:t>
      </w:r>
    </w:p>
    <w:p w14:paraId="4EF75CBA" w14:textId="066C0657" w:rsidR="00B640D2" w:rsidRDefault="00B640D2" w:rsidP="00FE3F2E">
      <w:pPr>
        <w:rPr>
          <w:rFonts w:ascii="Roboto" w:hAnsi="Roboto"/>
          <w:spacing w:val="5"/>
          <w:sz w:val="18"/>
          <w:szCs w:val="18"/>
          <w:shd w:val="clear" w:color="auto" w:fill="FFFFFF"/>
        </w:rPr>
      </w:pPr>
    </w:p>
    <w:p w14:paraId="271EECE7" w14:textId="65C093B5" w:rsidR="00393266" w:rsidRDefault="00A10F71" w:rsidP="00FE3F2E">
      <w:pPr>
        <w:sectPr w:rsidR="00393266" w:rsidSect="00A10F71">
          <w:pgSz w:w="12240" w:h="15840"/>
          <w:pgMar w:top="1440" w:right="1440" w:bottom="1440" w:left="1440" w:header="708" w:footer="708" w:gutter="0"/>
          <w:cols w:space="708"/>
          <w:docGrid w:linePitch="360"/>
        </w:sectPr>
      </w:pPr>
      <w:r>
        <w:br w:type="page"/>
      </w:r>
    </w:p>
    <w:p w14:paraId="0E6BE2E0" w14:textId="6FD2F946" w:rsidR="009D2DD7" w:rsidRDefault="003D0F97" w:rsidP="009D2DD7">
      <w:pPr>
        <w:spacing w:line="204" w:lineRule="auto"/>
        <w:rPr>
          <w:rFonts w:asciiTheme="majorHAnsi" w:eastAsiaTheme="majorEastAsia" w:hAnsi="Calibri Light" w:cstheme="majorBidi"/>
          <w:b/>
          <w:bCs/>
          <w:color w:val="ED7D31" w:themeColor="accent2"/>
          <w:kern w:val="24"/>
          <w:sz w:val="64"/>
          <w:szCs w:val="64"/>
          <w14:ligatures w14:val="none"/>
        </w:rPr>
      </w:pPr>
      <w:r>
        <w:rPr>
          <w:rFonts w:asciiTheme="majorHAnsi" w:eastAsiaTheme="majorEastAsia" w:hAnsi="Calibri Light" w:cstheme="majorBidi"/>
          <w:b/>
          <w:bCs/>
          <w:color w:val="ED7D31" w:themeColor="accent2"/>
          <w:kern w:val="24"/>
          <w:sz w:val="64"/>
          <w:szCs w:val="64"/>
        </w:rPr>
        <w:lastRenderedPageBreak/>
        <w:t xml:space="preserve">            </w:t>
      </w:r>
      <w:r w:rsidR="000D019A">
        <w:rPr>
          <w:rFonts w:asciiTheme="majorHAnsi" w:eastAsiaTheme="majorEastAsia" w:hAnsi="Calibri Light" w:cstheme="majorBidi"/>
          <w:b/>
          <w:bCs/>
          <w:color w:val="ED7D31" w:themeColor="accent2"/>
          <w:kern w:val="24"/>
          <w:sz w:val="64"/>
          <w:szCs w:val="64"/>
        </w:rPr>
        <w:t xml:space="preserve">                                    </w:t>
      </w:r>
      <w:r w:rsidR="009D2DD7">
        <w:rPr>
          <w:rFonts w:asciiTheme="majorHAnsi" w:eastAsiaTheme="majorEastAsia" w:hAnsi="Calibri Light" w:cstheme="majorBidi"/>
          <w:b/>
          <w:bCs/>
          <w:color w:val="ED7D31" w:themeColor="accent2"/>
          <w:kern w:val="24"/>
          <w:sz w:val="64"/>
          <w:szCs w:val="64"/>
        </w:rPr>
        <w:t>SWOT</w:t>
      </w:r>
    </w:p>
    <w:p w14:paraId="7D509F75" w14:textId="3614100A" w:rsidR="009D2DD7" w:rsidRDefault="003D0F97" w:rsidP="000745F1">
      <w:pPr>
        <w:pStyle w:val="Heading1"/>
      </w:pPr>
      <w:r>
        <w:rPr>
          <w:lang w:val="en-US"/>
        </w:rPr>
        <w:t xml:space="preserve">                    </w:t>
      </w:r>
      <w:r w:rsidR="009D2DD7">
        <w:rPr>
          <w:lang w:val="en-US"/>
        </w:rPr>
        <w:t>I</w:t>
      </w:r>
      <w:proofErr w:type="spellStart"/>
      <w:r w:rsidR="009D2DD7">
        <w:t>dentify</w:t>
      </w:r>
      <w:proofErr w:type="spellEnd"/>
      <w:r w:rsidR="009D2DD7">
        <w:t xml:space="preserve"> Strengths, Weaknesses, Opportunities, and Threats</w:t>
      </w:r>
    </w:p>
    <w:p w14:paraId="05C61C41" w14:textId="77777777" w:rsidR="00A61CED" w:rsidRPr="00A61CED" w:rsidRDefault="00A61CED" w:rsidP="00A61CED"/>
    <w:tbl>
      <w:tblPr>
        <w:tblStyle w:val="TableGrid"/>
        <w:tblW w:w="0" w:type="auto"/>
        <w:tblInd w:w="781" w:type="dxa"/>
        <w:tblLook w:val="04A0" w:firstRow="1" w:lastRow="0" w:firstColumn="1" w:lastColumn="0" w:noHBand="0" w:noVBand="1"/>
      </w:tblPr>
      <w:tblGrid>
        <w:gridCol w:w="560"/>
        <w:gridCol w:w="6314"/>
        <w:gridCol w:w="6278"/>
        <w:gridCol w:w="498"/>
      </w:tblGrid>
      <w:tr w:rsidR="000745F1" w14:paraId="4FE2010D" w14:textId="77777777" w:rsidTr="003D0F97">
        <w:trPr>
          <w:trHeight w:val="456"/>
        </w:trPr>
        <w:tc>
          <w:tcPr>
            <w:tcW w:w="560" w:type="dxa"/>
            <w:tcBorders>
              <w:top w:val="nil"/>
              <w:left w:val="nil"/>
              <w:bottom w:val="single" w:sz="4" w:space="0" w:color="auto"/>
              <w:right w:val="single" w:sz="4" w:space="0" w:color="auto"/>
            </w:tcBorders>
          </w:tcPr>
          <w:p w14:paraId="5FE66F13" w14:textId="77777777" w:rsidR="00787894" w:rsidRDefault="00787894" w:rsidP="00FE3F2E"/>
        </w:tc>
        <w:tc>
          <w:tcPr>
            <w:tcW w:w="12592" w:type="dxa"/>
            <w:gridSpan w:val="2"/>
            <w:tcBorders>
              <w:left w:val="single" w:sz="4" w:space="0" w:color="auto"/>
              <w:right w:val="single" w:sz="4" w:space="0" w:color="auto"/>
            </w:tcBorders>
            <w:shd w:val="clear" w:color="auto" w:fill="2F5496" w:themeFill="accent1" w:themeFillShade="BF"/>
          </w:tcPr>
          <w:p w14:paraId="0287CBEC" w14:textId="0D4E2ED5" w:rsidR="00787894" w:rsidRPr="000745F1" w:rsidRDefault="00705844" w:rsidP="00705844">
            <w:pPr>
              <w:jc w:val="center"/>
              <w:rPr>
                <w:b/>
                <w:bCs/>
              </w:rPr>
            </w:pPr>
            <w:r w:rsidRPr="000745F1">
              <w:rPr>
                <w:b/>
                <w:bCs/>
                <w:color w:val="FFFFFF" w:themeColor="background1"/>
              </w:rPr>
              <w:t>Internal Factors</w:t>
            </w:r>
          </w:p>
        </w:tc>
        <w:tc>
          <w:tcPr>
            <w:tcW w:w="498" w:type="dxa"/>
            <w:tcBorders>
              <w:top w:val="nil"/>
              <w:left w:val="single" w:sz="4" w:space="0" w:color="auto"/>
              <w:bottom w:val="single" w:sz="4" w:space="0" w:color="auto"/>
              <w:right w:val="nil"/>
            </w:tcBorders>
            <w:shd w:val="clear" w:color="auto" w:fill="auto"/>
          </w:tcPr>
          <w:p w14:paraId="2EA6CBB7" w14:textId="77777777" w:rsidR="00787894" w:rsidRDefault="00787894" w:rsidP="00FE3F2E"/>
        </w:tc>
      </w:tr>
      <w:tr w:rsidR="000745F1" w14:paraId="11623A47" w14:textId="77777777" w:rsidTr="003D0F97">
        <w:trPr>
          <w:trHeight w:val="4156"/>
        </w:trPr>
        <w:tc>
          <w:tcPr>
            <w:tcW w:w="560" w:type="dxa"/>
            <w:vMerge w:val="restart"/>
            <w:tcBorders>
              <w:top w:val="single" w:sz="4" w:space="0" w:color="auto"/>
            </w:tcBorders>
            <w:shd w:val="clear" w:color="auto" w:fill="538135" w:themeFill="accent6" w:themeFillShade="BF"/>
            <w:textDirection w:val="btLr"/>
          </w:tcPr>
          <w:p w14:paraId="2C4F2AD6" w14:textId="1453A568" w:rsidR="00787894" w:rsidRDefault="00787894" w:rsidP="002F41B8">
            <w:pPr>
              <w:ind w:left="113" w:right="113"/>
              <w:jc w:val="center"/>
            </w:pPr>
            <w:r w:rsidRPr="000745F1">
              <w:rPr>
                <w:b/>
                <w:bCs/>
                <w:color w:val="FFFFFF" w:themeColor="background1"/>
              </w:rPr>
              <w:t>Positive</w:t>
            </w:r>
          </w:p>
        </w:tc>
        <w:tc>
          <w:tcPr>
            <w:tcW w:w="6314" w:type="dxa"/>
          </w:tcPr>
          <w:p w14:paraId="27C24105" w14:textId="77777777" w:rsidR="00787894" w:rsidRDefault="00787894" w:rsidP="00FE3F2E">
            <w:r>
              <w:t>Strengths</w:t>
            </w:r>
          </w:p>
          <w:p w14:paraId="1196FC01" w14:textId="77777777" w:rsidR="006A2058" w:rsidRDefault="006A2058" w:rsidP="00FE3F2E"/>
          <w:p w14:paraId="742B28C8" w14:textId="58C7EE8E" w:rsidR="006A2058" w:rsidRDefault="006A2058" w:rsidP="00A61CED"/>
        </w:tc>
        <w:tc>
          <w:tcPr>
            <w:tcW w:w="6278" w:type="dxa"/>
          </w:tcPr>
          <w:p w14:paraId="36C88714" w14:textId="5882EB3D" w:rsidR="00787894" w:rsidRDefault="00787894" w:rsidP="00FE3F2E">
            <w:r>
              <w:t>Weaknesses</w:t>
            </w:r>
          </w:p>
        </w:tc>
        <w:tc>
          <w:tcPr>
            <w:tcW w:w="498" w:type="dxa"/>
            <w:vMerge w:val="restart"/>
            <w:tcBorders>
              <w:top w:val="single" w:sz="4" w:space="0" w:color="auto"/>
            </w:tcBorders>
            <w:shd w:val="clear" w:color="auto" w:fill="FF0000"/>
            <w:textDirection w:val="tbRl"/>
          </w:tcPr>
          <w:p w14:paraId="45F2DF02" w14:textId="0C89DCDA" w:rsidR="00787894" w:rsidRPr="000745F1" w:rsidRDefault="000745F1" w:rsidP="002F41B8">
            <w:pPr>
              <w:ind w:left="113" w:right="113"/>
              <w:jc w:val="center"/>
              <w:rPr>
                <w:b/>
                <w:bCs/>
              </w:rPr>
            </w:pPr>
            <w:r w:rsidRPr="000745F1">
              <w:rPr>
                <w:b/>
                <w:bCs/>
                <w:color w:val="FFFFFF" w:themeColor="background1"/>
              </w:rPr>
              <w:t>N</w:t>
            </w:r>
            <w:r w:rsidR="00787894" w:rsidRPr="000745F1">
              <w:rPr>
                <w:b/>
                <w:bCs/>
                <w:color w:val="FFFFFF" w:themeColor="background1"/>
              </w:rPr>
              <w:t>egative</w:t>
            </w:r>
          </w:p>
        </w:tc>
      </w:tr>
      <w:tr w:rsidR="000745F1" w14:paraId="308D1B8D" w14:textId="77777777" w:rsidTr="003D0F97">
        <w:trPr>
          <w:trHeight w:val="4405"/>
        </w:trPr>
        <w:tc>
          <w:tcPr>
            <w:tcW w:w="560" w:type="dxa"/>
            <w:vMerge/>
            <w:tcBorders>
              <w:bottom w:val="single" w:sz="4" w:space="0" w:color="auto"/>
            </w:tcBorders>
            <w:shd w:val="clear" w:color="auto" w:fill="538135" w:themeFill="accent6" w:themeFillShade="BF"/>
          </w:tcPr>
          <w:p w14:paraId="00627483" w14:textId="77777777" w:rsidR="00787894" w:rsidRDefault="00787894" w:rsidP="00FE3F2E"/>
        </w:tc>
        <w:tc>
          <w:tcPr>
            <w:tcW w:w="6314" w:type="dxa"/>
            <w:tcBorders>
              <w:bottom w:val="single" w:sz="4" w:space="0" w:color="auto"/>
            </w:tcBorders>
          </w:tcPr>
          <w:p w14:paraId="5C1C7A57" w14:textId="2E6AA3D2" w:rsidR="00787894" w:rsidRDefault="00705844" w:rsidP="00FE3F2E">
            <w:r>
              <w:t>Opportunities</w:t>
            </w:r>
          </w:p>
        </w:tc>
        <w:tc>
          <w:tcPr>
            <w:tcW w:w="6278" w:type="dxa"/>
            <w:tcBorders>
              <w:bottom w:val="single" w:sz="4" w:space="0" w:color="auto"/>
            </w:tcBorders>
          </w:tcPr>
          <w:p w14:paraId="4B8E30A6" w14:textId="269D7F68" w:rsidR="00787894" w:rsidRDefault="00705844" w:rsidP="00FE3F2E">
            <w:r>
              <w:t>Threats</w:t>
            </w:r>
          </w:p>
        </w:tc>
        <w:tc>
          <w:tcPr>
            <w:tcW w:w="498" w:type="dxa"/>
            <w:vMerge/>
            <w:tcBorders>
              <w:bottom w:val="single" w:sz="4" w:space="0" w:color="auto"/>
            </w:tcBorders>
            <w:shd w:val="clear" w:color="auto" w:fill="FF0000"/>
          </w:tcPr>
          <w:p w14:paraId="28ED3EC0" w14:textId="77777777" w:rsidR="00787894" w:rsidRDefault="00787894" w:rsidP="00FE3F2E"/>
        </w:tc>
      </w:tr>
      <w:tr w:rsidR="000745F1" w14:paraId="75C36013" w14:textId="77777777" w:rsidTr="003D0F97">
        <w:trPr>
          <w:trHeight w:val="416"/>
        </w:trPr>
        <w:tc>
          <w:tcPr>
            <w:tcW w:w="560" w:type="dxa"/>
            <w:tcBorders>
              <w:top w:val="single" w:sz="4" w:space="0" w:color="auto"/>
              <w:left w:val="nil"/>
              <w:bottom w:val="nil"/>
              <w:right w:val="single" w:sz="4" w:space="0" w:color="auto"/>
            </w:tcBorders>
          </w:tcPr>
          <w:p w14:paraId="3066B4DC" w14:textId="77777777" w:rsidR="00787894" w:rsidRDefault="00787894" w:rsidP="00FE3F2E"/>
        </w:tc>
        <w:tc>
          <w:tcPr>
            <w:tcW w:w="12592" w:type="dxa"/>
            <w:gridSpan w:val="2"/>
            <w:tcBorders>
              <w:left w:val="single" w:sz="4" w:space="0" w:color="auto"/>
              <w:right w:val="single" w:sz="4" w:space="0" w:color="auto"/>
            </w:tcBorders>
            <w:shd w:val="clear" w:color="auto" w:fill="2E74B5" w:themeFill="accent5" w:themeFillShade="BF"/>
          </w:tcPr>
          <w:p w14:paraId="63CFF460" w14:textId="1DF0AB01" w:rsidR="00787894" w:rsidRDefault="000745F1" w:rsidP="000745F1">
            <w:pPr>
              <w:jc w:val="center"/>
            </w:pPr>
            <w:r w:rsidRPr="000745F1">
              <w:rPr>
                <w:b/>
                <w:bCs/>
                <w:color w:val="FFFFFF" w:themeColor="background1"/>
              </w:rPr>
              <w:t>External Factors</w:t>
            </w:r>
          </w:p>
        </w:tc>
        <w:tc>
          <w:tcPr>
            <w:tcW w:w="498" w:type="dxa"/>
            <w:tcBorders>
              <w:top w:val="single" w:sz="4" w:space="0" w:color="auto"/>
              <w:left w:val="single" w:sz="4" w:space="0" w:color="auto"/>
              <w:bottom w:val="nil"/>
              <w:right w:val="nil"/>
            </w:tcBorders>
          </w:tcPr>
          <w:p w14:paraId="3BDF04AE" w14:textId="77777777" w:rsidR="00787894" w:rsidRDefault="00787894" w:rsidP="00FE3F2E"/>
        </w:tc>
      </w:tr>
    </w:tbl>
    <w:p w14:paraId="09D7C8D9" w14:textId="37FB66C4" w:rsidR="00FE3F2E" w:rsidRDefault="00FE3F2E" w:rsidP="000745F1"/>
    <w:sectPr w:rsidR="00FE3F2E" w:rsidSect="000745F1">
      <w:pgSz w:w="15840" w:h="12240" w:orient="landscape"/>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7245"/>
    <w:multiLevelType w:val="hybridMultilevel"/>
    <w:tmpl w:val="028AE766"/>
    <w:lvl w:ilvl="0" w:tplc="4FEEC722">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14126A"/>
    <w:multiLevelType w:val="hybridMultilevel"/>
    <w:tmpl w:val="6A6AD6B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81434717">
    <w:abstractNumId w:val="1"/>
  </w:num>
  <w:num w:numId="2" w16cid:durableId="823814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2E"/>
    <w:rsid w:val="000745F1"/>
    <w:rsid w:val="000D019A"/>
    <w:rsid w:val="002F41B8"/>
    <w:rsid w:val="00393266"/>
    <w:rsid w:val="003D0F97"/>
    <w:rsid w:val="006A2058"/>
    <w:rsid w:val="006C10EE"/>
    <w:rsid w:val="00705844"/>
    <w:rsid w:val="00787894"/>
    <w:rsid w:val="00833633"/>
    <w:rsid w:val="008E1294"/>
    <w:rsid w:val="009D2DD7"/>
    <w:rsid w:val="00A10F71"/>
    <w:rsid w:val="00A61CED"/>
    <w:rsid w:val="00B640D2"/>
    <w:rsid w:val="00BC6D4E"/>
    <w:rsid w:val="00BE321E"/>
    <w:rsid w:val="00D12B46"/>
    <w:rsid w:val="00E34A49"/>
    <w:rsid w:val="00F337E7"/>
    <w:rsid w:val="00FE3F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266D"/>
  <w15:chartTrackingRefBased/>
  <w15:docId w15:val="{AF8FDB26-8126-4B18-9CE7-D464BAC0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F2E"/>
    <w:pPr>
      <w:ind w:left="720"/>
      <w:contextualSpacing/>
    </w:pPr>
  </w:style>
  <w:style w:type="character" w:styleId="Hyperlink">
    <w:name w:val="Hyperlink"/>
    <w:basedOn w:val="DefaultParagraphFont"/>
    <w:uiPriority w:val="99"/>
    <w:unhideWhenUsed/>
    <w:rsid w:val="00FE3F2E"/>
    <w:rPr>
      <w:color w:val="0563C1" w:themeColor="hyperlink"/>
      <w:u w:val="single"/>
    </w:rPr>
  </w:style>
  <w:style w:type="character" w:styleId="UnresolvedMention">
    <w:name w:val="Unresolved Mention"/>
    <w:basedOn w:val="DefaultParagraphFont"/>
    <w:uiPriority w:val="99"/>
    <w:semiHidden/>
    <w:unhideWhenUsed/>
    <w:rsid w:val="00FE3F2E"/>
    <w:rPr>
      <w:color w:val="605E5C"/>
      <w:shd w:val="clear" w:color="auto" w:fill="E1DFDD"/>
    </w:rPr>
  </w:style>
  <w:style w:type="table" w:styleId="TableGrid">
    <w:name w:val="Table Grid"/>
    <w:basedOn w:val="TableNormal"/>
    <w:uiPriority w:val="39"/>
    <w:rsid w:val="00F33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45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finance/quote/GME:NY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Campanis,George</dc:creator>
  <cp:keywords/>
  <dc:description/>
  <cp:lastModifiedBy>Campanis,George</cp:lastModifiedBy>
  <cp:revision>17</cp:revision>
  <dcterms:created xsi:type="dcterms:W3CDTF">2023-10-05T14:42:00Z</dcterms:created>
  <dcterms:modified xsi:type="dcterms:W3CDTF">2023-10-05T15:15:00Z</dcterms:modified>
</cp:coreProperties>
</file>