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51608A" w14:textId="62C72128" w:rsidR="00D12B46" w:rsidRDefault="00FE3F2E">
      <w:r>
        <w:t>Assignment 1 – Conduct a SWOT Analysis</w:t>
      </w:r>
    </w:p>
    <w:p w14:paraId="6EDBC21E" w14:textId="77777777" w:rsidR="00FE3F2E" w:rsidRDefault="00FE3F2E"/>
    <w:p w14:paraId="0E58B4F7" w14:textId="0C9D2A6A" w:rsidR="005D049C" w:rsidRDefault="005D049C" w:rsidP="00FE3F2E">
      <w:pPr>
        <w:jc w:val="both"/>
        <w:rPr>
          <w:rFonts w:ascii="Roboto" w:hAnsi="Roboto"/>
          <w:spacing w:val="5"/>
          <w:sz w:val="18"/>
          <w:szCs w:val="18"/>
          <w:shd w:val="clear" w:color="auto" w:fill="FFFFFF"/>
        </w:rPr>
      </w:pPr>
      <w:r>
        <w:rPr>
          <w:rFonts w:ascii="Roboto" w:hAnsi="Roboto"/>
          <w:spacing w:val="5"/>
          <w:sz w:val="18"/>
          <w:szCs w:val="18"/>
          <w:shd w:val="clear" w:color="auto" w:fill="FFFFFF"/>
        </w:rPr>
        <w:t>Marriott International</w:t>
      </w:r>
    </w:p>
    <w:p w14:paraId="0CF708F4" w14:textId="11ABFEC0" w:rsidR="00FE3F2E" w:rsidRDefault="004268CA" w:rsidP="00FE3F2E">
      <w:pPr>
        <w:jc w:val="both"/>
        <w:rPr>
          <w:rFonts w:ascii="Roboto" w:hAnsi="Roboto"/>
          <w:spacing w:val="5"/>
          <w:sz w:val="18"/>
          <w:szCs w:val="18"/>
          <w:shd w:val="clear" w:color="auto" w:fill="FFFFFF"/>
        </w:rPr>
      </w:pPr>
      <w:r w:rsidRPr="004268CA">
        <w:rPr>
          <w:rFonts w:ascii="Roboto" w:hAnsi="Roboto"/>
          <w:spacing w:val="5"/>
          <w:sz w:val="18"/>
          <w:szCs w:val="18"/>
          <w:shd w:val="clear" w:color="auto" w:fill="FFFFFF"/>
        </w:rPr>
        <w:t xml:space="preserve">AMC </w:t>
      </w:r>
      <w:r w:rsidR="005D049C">
        <w:rPr>
          <w:rFonts w:ascii="Roboto" w:hAnsi="Roboto"/>
          <w:spacing w:val="5"/>
          <w:sz w:val="18"/>
          <w:szCs w:val="18"/>
          <w:shd w:val="clear" w:color="auto" w:fill="FFFFFF"/>
        </w:rPr>
        <w:t>Marriott International, Inc. is an American multinational company that operates, franchises, and licenses lodging including hotel, residential and timeshare properties. It is headquartered in Bethesda, Maryland. The company was founded by J. Willard Marriott and his wife Alice Marriott</w:t>
      </w:r>
    </w:p>
    <w:p w14:paraId="0923FD28" w14:textId="5472BDC5" w:rsidR="005D049C" w:rsidRDefault="00FE3F2E" w:rsidP="00FE3F2E">
      <w:pPr>
        <w:rPr>
          <w:rFonts w:ascii="Roboto" w:hAnsi="Roboto"/>
          <w:spacing w:val="5"/>
          <w:sz w:val="18"/>
          <w:szCs w:val="18"/>
          <w:shd w:val="clear" w:color="auto" w:fill="FFFFFF"/>
        </w:rPr>
      </w:pPr>
      <w:r>
        <w:rPr>
          <w:rFonts w:ascii="Roboto" w:hAnsi="Roboto"/>
          <w:spacing w:val="5"/>
          <w:sz w:val="18"/>
          <w:szCs w:val="18"/>
          <w:shd w:val="clear" w:color="auto" w:fill="FFFFFF"/>
        </w:rPr>
        <w:t xml:space="preserve">Sources: </w:t>
      </w:r>
      <w:hyperlink r:id="rId5" w:history="1">
        <w:r w:rsidR="005D049C" w:rsidRPr="00ED5C40">
          <w:rPr>
            <w:rStyle w:val="Hyperlink"/>
            <w:rFonts w:ascii="Roboto" w:hAnsi="Roboto"/>
            <w:spacing w:val="5"/>
            <w:sz w:val="18"/>
            <w:szCs w:val="18"/>
            <w:shd w:val="clear" w:color="auto" w:fill="FFFFFF"/>
          </w:rPr>
          <w:t>https://www.google.com/finance/quote/MAR:NASDAQ</w:t>
        </w:r>
      </w:hyperlink>
    </w:p>
    <w:p w14:paraId="1723B951" w14:textId="013725A6" w:rsidR="00E977AC" w:rsidRDefault="00E977AC" w:rsidP="00FE3F2E">
      <w:pPr>
        <w:rPr>
          <w:rFonts w:ascii="Roboto" w:hAnsi="Roboto"/>
          <w:spacing w:val="5"/>
          <w:sz w:val="18"/>
          <w:szCs w:val="18"/>
          <w:shd w:val="clear" w:color="auto" w:fill="FFFFFF"/>
        </w:rPr>
      </w:pPr>
      <w:r>
        <w:rPr>
          <w:rFonts w:ascii="Roboto" w:hAnsi="Roboto"/>
          <w:spacing w:val="5"/>
          <w:sz w:val="18"/>
          <w:szCs w:val="18"/>
          <w:shd w:val="clear" w:color="auto" w:fill="FFFFFF"/>
        </w:rPr>
        <w:t>The C</w:t>
      </w:r>
      <w:r w:rsidR="001A36D0">
        <w:rPr>
          <w:rFonts w:ascii="Roboto" w:hAnsi="Roboto"/>
          <w:spacing w:val="5"/>
          <w:sz w:val="18"/>
          <w:szCs w:val="18"/>
          <w:shd w:val="clear" w:color="auto" w:fill="FFFFFF"/>
        </w:rPr>
        <w:t xml:space="preserve">hallenge: </w:t>
      </w:r>
      <w:hyperlink r:id="rId6" w:history="1">
        <w:r w:rsidR="001867B7" w:rsidRPr="00ED5C40">
          <w:rPr>
            <w:rStyle w:val="Hyperlink"/>
            <w:rFonts w:ascii="Roboto" w:hAnsi="Roboto"/>
            <w:spacing w:val="5"/>
            <w:sz w:val="18"/>
            <w:szCs w:val="18"/>
            <w:shd w:val="clear" w:color="auto" w:fill="FFFFFF"/>
          </w:rPr>
          <w:t>https://www.cnbc.com/2020/09/13/marriott-built-its-airbnb-before-coronavirus-crash-did-it-help.html</w:t>
        </w:r>
      </w:hyperlink>
    </w:p>
    <w:p w14:paraId="428F0CED" w14:textId="34146FBA" w:rsidR="00B640D2" w:rsidRDefault="00B640D2" w:rsidP="00FE3F2E">
      <w:pPr>
        <w:rPr>
          <w:rFonts w:ascii="Roboto" w:hAnsi="Roboto"/>
          <w:spacing w:val="5"/>
          <w:sz w:val="18"/>
          <w:szCs w:val="18"/>
          <w:shd w:val="clear" w:color="auto" w:fill="FFFFFF"/>
        </w:rPr>
      </w:pPr>
      <w:r>
        <w:rPr>
          <w:rFonts w:ascii="Roboto" w:hAnsi="Roboto"/>
          <w:spacing w:val="5"/>
          <w:sz w:val="18"/>
          <w:szCs w:val="18"/>
          <w:shd w:val="clear" w:color="auto" w:fill="FFFFFF"/>
        </w:rPr>
        <w:t>Group Members:</w:t>
      </w:r>
    </w:p>
    <w:p w14:paraId="1D6ED5D0" w14:textId="77777777" w:rsidR="00393266" w:rsidRDefault="00393266" w:rsidP="00FE3F2E"/>
    <w:p w14:paraId="011A2C14" w14:textId="77777777" w:rsidR="007436B8" w:rsidRDefault="00DD2493" w:rsidP="00FE3F2E">
      <w:r>
        <w:t>Y</w:t>
      </w:r>
      <w:r w:rsidR="007436B8">
        <w:t xml:space="preserve">uliana </w:t>
      </w:r>
      <w:proofErr w:type="spellStart"/>
      <w:r w:rsidR="007436B8">
        <w:t>Puspitosari</w:t>
      </w:r>
      <w:proofErr w:type="spellEnd"/>
    </w:p>
    <w:p w14:paraId="1F89F5C1" w14:textId="77777777" w:rsidR="007436B8" w:rsidRDefault="007436B8" w:rsidP="00FE3F2E">
      <w:proofErr w:type="spellStart"/>
      <w:r>
        <w:t>Tiankun</w:t>
      </w:r>
      <w:proofErr w:type="spellEnd"/>
      <w:r>
        <w:t xml:space="preserve"> Deng</w:t>
      </w:r>
    </w:p>
    <w:p w14:paraId="714D69B0" w14:textId="77777777" w:rsidR="007436B8" w:rsidRDefault="00AA6817" w:rsidP="00FE3F2E">
      <w:r>
        <w:t>Isaac Leblanc</w:t>
      </w:r>
    </w:p>
    <w:p w14:paraId="75B60420" w14:textId="77777777" w:rsidR="00AA6817" w:rsidRDefault="00AA6817" w:rsidP="00FE3F2E">
      <w:r>
        <w:t>Hang Ngo</w:t>
      </w:r>
    </w:p>
    <w:p w14:paraId="271EECE7" w14:textId="182E4BF3" w:rsidR="00AA6817" w:rsidRDefault="00AA6817" w:rsidP="00FE3F2E">
      <w:pPr>
        <w:sectPr w:rsidR="00AA6817" w:rsidSect="00A10F71">
          <w:pgSz w:w="12240" w:h="15840"/>
          <w:pgMar w:top="1440" w:right="1440" w:bottom="1440" w:left="1440" w:header="708" w:footer="708" w:gutter="0"/>
          <w:cols w:space="708"/>
          <w:docGrid w:linePitch="360"/>
        </w:sectPr>
      </w:pPr>
      <w:r>
        <w:t>Elaine da Silva</w:t>
      </w:r>
    </w:p>
    <w:p w14:paraId="05C61C41" w14:textId="76D74F03" w:rsidR="00A61CED" w:rsidRPr="00BC7D96" w:rsidRDefault="003D0F97" w:rsidP="00BC7D96">
      <w:pPr>
        <w:spacing w:line="204" w:lineRule="auto"/>
        <w:rPr>
          <w:rFonts w:asciiTheme="majorHAnsi" w:eastAsiaTheme="majorEastAsia" w:hAnsi="Calibri Light" w:cstheme="majorBidi"/>
          <w:b/>
          <w:bCs/>
          <w:color w:val="ED7D31" w:themeColor="accent2"/>
          <w:kern w:val="24"/>
          <w:sz w:val="64"/>
          <w:szCs w:val="64"/>
          <w14:ligatures w14:val="none"/>
        </w:rPr>
      </w:pPr>
      <w:r>
        <w:rPr>
          <w:rFonts w:asciiTheme="majorHAnsi" w:eastAsiaTheme="majorEastAsia" w:hAnsi="Calibri Light" w:cstheme="majorBidi"/>
          <w:b/>
          <w:bCs/>
          <w:color w:val="ED7D31" w:themeColor="accent2"/>
          <w:kern w:val="24"/>
          <w:sz w:val="64"/>
          <w:szCs w:val="64"/>
        </w:rPr>
        <w:lastRenderedPageBreak/>
        <w:t xml:space="preserve">            </w:t>
      </w:r>
      <w:r w:rsidR="000D019A">
        <w:rPr>
          <w:rFonts w:asciiTheme="majorHAnsi" w:eastAsiaTheme="majorEastAsia" w:hAnsi="Calibri Light" w:cstheme="majorBidi"/>
          <w:b/>
          <w:bCs/>
          <w:color w:val="ED7D31" w:themeColor="accent2"/>
          <w:kern w:val="24"/>
          <w:sz w:val="64"/>
          <w:szCs w:val="64"/>
        </w:rPr>
        <w:t xml:space="preserve">                                    </w:t>
      </w:r>
      <w:r w:rsidR="009D2DD7">
        <w:rPr>
          <w:rFonts w:asciiTheme="majorHAnsi" w:eastAsiaTheme="majorEastAsia" w:hAnsi="Calibri Light" w:cstheme="majorBidi"/>
          <w:b/>
          <w:bCs/>
          <w:color w:val="ED7D31" w:themeColor="accent2"/>
          <w:kern w:val="24"/>
          <w:sz w:val="64"/>
          <w:szCs w:val="64"/>
        </w:rPr>
        <w:t>SWOT</w:t>
      </w:r>
    </w:p>
    <w:tbl>
      <w:tblPr>
        <w:tblStyle w:val="TableGrid"/>
        <w:tblW w:w="0" w:type="auto"/>
        <w:tblInd w:w="781" w:type="dxa"/>
        <w:tblLook w:val="04A0" w:firstRow="1" w:lastRow="0" w:firstColumn="1" w:lastColumn="0" w:noHBand="0" w:noVBand="1"/>
      </w:tblPr>
      <w:tblGrid>
        <w:gridCol w:w="560"/>
        <w:gridCol w:w="6314"/>
        <w:gridCol w:w="6278"/>
        <w:gridCol w:w="498"/>
      </w:tblGrid>
      <w:tr w:rsidR="000745F1" w14:paraId="4FE2010D" w14:textId="77777777" w:rsidTr="003D0F97">
        <w:trPr>
          <w:trHeight w:val="456"/>
        </w:trPr>
        <w:tc>
          <w:tcPr>
            <w:tcW w:w="560" w:type="dxa"/>
            <w:tcBorders>
              <w:top w:val="nil"/>
              <w:left w:val="nil"/>
              <w:bottom w:val="single" w:sz="4" w:space="0" w:color="auto"/>
              <w:right w:val="single" w:sz="4" w:space="0" w:color="auto"/>
            </w:tcBorders>
          </w:tcPr>
          <w:p w14:paraId="5FE66F13" w14:textId="77777777" w:rsidR="00787894" w:rsidRDefault="00787894" w:rsidP="00FE3F2E"/>
        </w:tc>
        <w:tc>
          <w:tcPr>
            <w:tcW w:w="12592" w:type="dxa"/>
            <w:gridSpan w:val="2"/>
            <w:tcBorders>
              <w:left w:val="single" w:sz="4" w:space="0" w:color="auto"/>
              <w:right w:val="single" w:sz="4" w:space="0" w:color="auto"/>
            </w:tcBorders>
            <w:shd w:val="clear" w:color="auto" w:fill="2F5496" w:themeFill="accent1" w:themeFillShade="BF"/>
          </w:tcPr>
          <w:p w14:paraId="0287CBEC" w14:textId="0D4E2ED5" w:rsidR="00787894" w:rsidRPr="000745F1" w:rsidRDefault="00705844" w:rsidP="00705844">
            <w:pPr>
              <w:jc w:val="center"/>
              <w:rPr>
                <w:b/>
                <w:bCs/>
              </w:rPr>
            </w:pPr>
            <w:r w:rsidRPr="000745F1">
              <w:rPr>
                <w:b/>
                <w:bCs/>
                <w:color w:val="FFFFFF" w:themeColor="background1"/>
              </w:rPr>
              <w:t>Internal Factors</w:t>
            </w:r>
          </w:p>
        </w:tc>
        <w:tc>
          <w:tcPr>
            <w:tcW w:w="498" w:type="dxa"/>
            <w:tcBorders>
              <w:top w:val="nil"/>
              <w:left w:val="single" w:sz="4" w:space="0" w:color="auto"/>
              <w:bottom w:val="single" w:sz="4" w:space="0" w:color="auto"/>
              <w:right w:val="nil"/>
            </w:tcBorders>
            <w:shd w:val="clear" w:color="auto" w:fill="auto"/>
          </w:tcPr>
          <w:p w14:paraId="2EA6CBB7" w14:textId="77777777" w:rsidR="00787894" w:rsidRDefault="00787894" w:rsidP="00FE3F2E"/>
        </w:tc>
      </w:tr>
      <w:tr w:rsidR="000745F1" w14:paraId="11623A47" w14:textId="77777777" w:rsidTr="003D0F97">
        <w:trPr>
          <w:trHeight w:val="4156"/>
        </w:trPr>
        <w:tc>
          <w:tcPr>
            <w:tcW w:w="560" w:type="dxa"/>
            <w:vMerge w:val="restart"/>
            <w:tcBorders>
              <w:top w:val="single" w:sz="4" w:space="0" w:color="auto"/>
            </w:tcBorders>
            <w:shd w:val="clear" w:color="auto" w:fill="538135" w:themeFill="accent6" w:themeFillShade="BF"/>
            <w:textDirection w:val="btLr"/>
          </w:tcPr>
          <w:p w14:paraId="2C4F2AD6" w14:textId="1453A568" w:rsidR="00787894" w:rsidRDefault="00787894" w:rsidP="002F41B8">
            <w:pPr>
              <w:ind w:left="113" w:right="113"/>
              <w:jc w:val="center"/>
            </w:pPr>
            <w:r w:rsidRPr="000745F1">
              <w:rPr>
                <w:b/>
                <w:bCs/>
                <w:color w:val="FFFFFF" w:themeColor="background1"/>
              </w:rPr>
              <w:t>Positive</w:t>
            </w:r>
          </w:p>
        </w:tc>
        <w:tc>
          <w:tcPr>
            <w:tcW w:w="6314" w:type="dxa"/>
          </w:tcPr>
          <w:p w14:paraId="1196FC01" w14:textId="26B6D986" w:rsidR="006A2058" w:rsidRPr="005C7F57" w:rsidRDefault="00787894" w:rsidP="00FE3F2E">
            <w:pPr>
              <w:rPr>
                <w:b/>
                <w:bCs/>
                <w:sz w:val="32"/>
                <w:szCs w:val="32"/>
              </w:rPr>
            </w:pPr>
            <w:r w:rsidRPr="005C7F57">
              <w:rPr>
                <w:b/>
                <w:bCs/>
                <w:sz w:val="32"/>
                <w:szCs w:val="32"/>
              </w:rPr>
              <w:t>Strengths</w:t>
            </w:r>
          </w:p>
          <w:p w14:paraId="68F30DB5" w14:textId="75E04BBE" w:rsidR="009217A5" w:rsidRDefault="009217A5" w:rsidP="00FE3F2E">
            <w:r w:rsidRPr="009217A5">
              <w:rPr>
                <w:b/>
                <w:bCs/>
              </w:rPr>
              <w:t>Brand Recognition</w:t>
            </w:r>
            <w:r w:rsidRPr="009217A5">
              <w:t xml:space="preserve">: </w:t>
            </w:r>
            <w:r w:rsidR="00EE7C9D" w:rsidRPr="00EE7C9D">
              <w:t>For those planning travel, the Marriott brand will be familiar because it is widely recognised within the hospitality industry. This makes users more likely to trust the app.</w:t>
            </w:r>
          </w:p>
          <w:p w14:paraId="211CFA6D" w14:textId="77777777" w:rsidR="009217A5" w:rsidRDefault="009217A5" w:rsidP="00FE3F2E"/>
          <w:p w14:paraId="30B11DA4" w14:textId="4650CCEF" w:rsidR="009217A5" w:rsidRDefault="009217A5" w:rsidP="00FE3F2E">
            <w:r w:rsidRPr="009217A5">
              <w:rPr>
                <w:b/>
                <w:bCs/>
              </w:rPr>
              <w:t>Diverse Offerings</w:t>
            </w:r>
            <w:r w:rsidRPr="009217A5">
              <w:t xml:space="preserve">: </w:t>
            </w:r>
            <w:r w:rsidR="00EE7C9D" w:rsidRPr="00EE7C9D">
              <w:t>Villas and homes are offered on the app along with other, more luxurious accommodations, for tourists on different price ranges.</w:t>
            </w:r>
          </w:p>
          <w:p w14:paraId="50E96BAC" w14:textId="77777777" w:rsidR="006A2058" w:rsidRDefault="006A2058" w:rsidP="00A61CED"/>
          <w:p w14:paraId="406CAC9B" w14:textId="0613E670" w:rsidR="009217A5" w:rsidRDefault="009217A5" w:rsidP="00A61CED">
            <w:r w:rsidRPr="009217A5">
              <w:rPr>
                <w:b/>
                <w:bCs/>
              </w:rPr>
              <w:t>Quality Control</w:t>
            </w:r>
            <w:r w:rsidRPr="009217A5">
              <w:t xml:space="preserve">: </w:t>
            </w:r>
            <w:r w:rsidR="00EE7C9D" w:rsidRPr="00EE7C9D">
              <w:t>Marriott has standards for its properties worldwide that users can expect to have met. This is one reason why it is not peer-to-peer like so many others.</w:t>
            </w:r>
          </w:p>
          <w:p w14:paraId="230E0156" w14:textId="77777777" w:rsidR="00BC7D96" w:rsidRDefault="00BC7D96" w:rsidP="00A61CED"/>
          <w:p w14:paraId="742B28C8" w14:textId="592FA0FE" w:rsidR="00BC7D96" w:rsidRDefault="00BC7D96" w:rsidP="00A61CED">
            <w:r w:rsidRPr="00BC7D96">
              <w:rPr>
                <w:b/>
                <w:bCs/>
              </w:rPr>
              <w:t>Technology Infrastructure</w:t>
            </w:r>
            <w:r w:rsidRPr="00BC7D96">
              <w:t xml:space="preserve">: </w:t>
            </w:r>
            <w:r w:rsidR="00C75764" w:rsidRPr="00C75764">
              <w:t>Marriott has invested in a superior technology infrastructure to enable the bookings and customer service to take place on the app, which improves the user experience of going through the app.</w:t>
            </w:r>
          </w:p>
        </w:tc>
        <w:tc>
          <w:tcPr>
            <w:tcW w:w="6278" w:type="dxa"/>
          </w:tcPr>
          <w:p w14:paraId="75EFD624" w14:textId="77777777" w:rsidR="00787894" w:rsidRPr="005C7F57" w:rsidRDefault="00787894" w:rsidP="00FE3F2E">
            <w:pPr>
              <w:rPr>
                <w:b/>
                <w:bCs/>
                <w:sz w:val="32"/>
                <w:szCs w:val="32"/>
              </w:rPr>
            </w:pPr>
            <w:r w:rsidRPr="005C7F57">
              <w:rPr>
                <w:b/>
                <w:bCs/>
                <w:sz w:val="32"/>
                <w:szCs w:val="32"/>
              </w:rPr>
              <w:t>Weaknesses</w:t>
            </w:r>
          </w:p>
          <w:p w14:paraId="7F08DECC" w14:textId="4CF5E9A6" w:rsidR="009217A5" w:rsidRDefault="00EE7C9D" w:rsidP="00FE3F2E">
            <w:r w:rsidRPr="00EE7C9D">
              <w:rPr>
                <w:b/>
                <w:bCs/>
              </w:rPr>
              <w:t>Limited Inventory</w:t>
            </w:r>
            <w:r w:rsidRPr="00EE7C9D">
              <w:t xml:space="preserve">: </w:t>
            </w:r>
            <w:r w:rsidR="00C75764" w:rsidRPr="00C75764">
              <w:t>Marriott Homes Villas doesn’t offer as many listings as other hospitality networks such as Airbnb</w:t>
            </w:r>
            <w:r w:rsidR="00C75764">
              <w:t>.</w:t>
            </w:r>
          </w:p>
          <w:p w14:paraId="79468899" w14:textId="77777777" w:rsidR="00EE7C9D" w:rsidRDefault="00EE7C9D" w:rsidP="00FE3F2E"/>
          <w:p w14:paraId="0DFB3F88" w14:textId="1DCB330D" w:rsidR="00EE7C9D" w:rsidRDefault="00EE7C9D" w:rsidP="00FE3F2E">
            <w:r w:rsidRPr="00EE7C9D">
              <w:rPr>
                <w:b/>
                <w:bCs/>
              </w:rPr>
              <w:t>Higher Price Points</w:t>
            </w:r>
            <w:r w:rsidRPr="00EE7C9D">
              <w:t xml:space="preserve">: </w:t>
            </w:r>
            <w:r w:rsidR="00C75764" w:rsidRPr="00C75764">
              <w:t>conventional hotel pricing models might not rival lower rates that are often being seen on Airbnb making your hotel less appealing to budget travellers.</w:t>
            </w:r>
          </w:p>
          <w:p w14:paraId="0435441D" w14:textId="77777777" w:rsidR="00EE7C9D" w:rsidRDefault="00EE7C9D" w:rsidP="00FE3F2E"/>
          <w:p w14:paraId="36C88714" w14:textId="70678066" w:rsidR="009217A5" w:rsidRDefault="00EE7C9D" w:rsidP="00C75764">
            <w:r w:rsidRPr="00EE7C9D">
              <w:rPr>
                <w:b/>
                <w:bCs/>
              </w:rPr>
              <w:t>Transition Challenges</w:t>
            </w:r>
            <w:r w:rsidRPr="00EE7C9D">
              <w:t xml:space="preserve">: </w:t>
            </w:r>
            <w:r w:rsidR="00C75764" w:rsidRPr="00C75764">
              <w:t>It can be hard for large companies to integrate a new business model so, while this looks like a good idea, it would be a challenge for Marriott to market and manage this app.</w:t>
            </w:r>
          </w:p>
        </w:tc>
        <w:tc>
          <w:tcPr>
            <w:tcW w:w="498" w:type="dxa"/>
            <w:vMerge w:val="restart"/>
            <w:tcBorders>
              <w:top w:val="single" w:sz="4" w:space="0" w:color="auto"/>
            </w:tcBorders>
            <w:shd w:val="clear" w:color="auto" w:fill="FF0000"/>
            <w:textDirection w:val="tbRl"/>
          </w:tcPr>
          <w:p w14:paraId="45F2DF02" w14:textId="0C89DCDA" w:rsidR="00787894" w:rsidRPr="000745F1" w:rsidRDefault="000745F1" w:rsidP="002F41B8">
            <w:pPr>
              <w:ind w:left="113" w:right="113"/>
              <w:jc w:val="center"/>
              <w:rPr>
                <w:b/>
                <w:bCs/>
              </w:rPr>
            </w:pPr>
            <w:r w:rsidRPr="000745F1">
              <w:rPr>
                <w:b/>
                <w:bCs/>
                <w:color w:val="FFFFFF" w:themeColor="background1"/>
              </w:rPr>
              <w:t>N</w:t>
            </w:r>
            <w:r w:rsidR="00787894" w:rsidRPr="000745F1">
              <w:rPr>
                <w:b/>
                <w:bCs/>
                <w:color w:val="FFFFFF" w:themeColor="background1"/>
              </w:rPr>
              <w:t>egative</w:t>
            </w:r>
          </w:p>
        </w:tc>
      </w:tr>
      <w:tr w:rsidR="000745F1" w14:paraId="308D1B8D" w14:textId="77777777" w:rsidTr="003D0F97">
        <w:trPr>
          <w:trHeight w:val="4405"/>
        </w:trPr>
        <w:tc>
          <w:tcPr>
            <w:tcW w:w="560" w:type="dxa"/>
            <w:vMerge/>
            <w:tcBorders>
              <w:bottom w:val="single" w:sz="4" w:space="0" w:color="auto"/>
            </w:tcBorders>
            <w:shd w:val="clear" w:color="auto" w:fill="538135" w:themeFill="accent6" w:themeFillShade="BF"/>
          </w:tcPr>
          <w:p w14:paraId="00627483" w14:textId="77777777" w:rsidR="00787894" w:rsidRDefault="00787894" w:rsidP="00FE3F2E"/>
        </w:tc>
        <w:tc>
          <w:tcPr>
            <w:tcW w:w="6314" w:type="dxa"/>
            <w:tcBorders>
              <w:bottom w:val="single" w:sz="4" w:space="0" w:color="auto"/>
            </w:tcBorders>
          </w:tcPr>
          <w:p w14:paraId="2A6830FC" w14:textId="0470D4D7" w:rsidR="008A37DC" w:rsidRPr="005C7F57" w:rsidRDefault="00705844" w:rsidP="00FE3F2E">
            <w:pPr>
              <w:rPr>
                <w:b/>
                <w:bCs/>
                <w:sz w:val="32"/>
                <w:szCs w:val="32"/>
              </w:rPr>
            </w:pPr>
            <w:r w:rsidRPr="005C7F57">
              <w:rPr>
                <w:b/>
                <w:bCs/>
                <w:sz w:val="32"/>
                <w:szCs w:val="32"/>
              </w:rPr>
              <w:t>Opportunities</w:t>
            </w:r>
          </w:p>
          <w:p w14:paraId="04BA3B48" w14:textId="3E8203D3" w:rsidR="008A37DC" w:rsidRDefault="008A37DC" w:rsidP="00FE3F2E">
            <w:r w:rsidRPr="008A37DC">
              <w:rPr>
                <w:b/>
                <w:bCs/>
              </w:rPr>
              <w:t>Digital Transformation:</w:t>
            </w:r>
            <w:r w:rsidRPr="008A37DC">
              <w:t xml:space="preserve"> </w:t>
            </w:r>
            <w:r w:rsidR="00C75764" w:rsidRPr="00C75764">
              <w:t>Investing in technology that can enhance the customers experiences and efficiency.</w:t>
            </w:r>
          </w:p>
          <w:p w14:paraId="28AF4CC4" w14:textId="77777777" w:rsidR="008A37DC" w:rsidRDefault="008A37DC" w:rsidP="00FE3F2E"/>
          <w:p w14:paraId="0A82D81A" w14:textId="787FC366" w:rsidR="008A37DC" w:rsidRDefault="008A37DC" w:rsidP="00FE3F2E">
            <w:r w:rsidRPr="008A37DC">
              <w:rPr>
                <w:b/>
                <w:bCs/>
              </w:rPr>
              <w:t>Unique Accommodations:</w:t>
            </w:r>
            <w:r w:rsidRPr="008A37DC">
              <w:t xml:space="preserve"> </w:t>
            </w:r>
            <w:r w:rsidR="00676F8E">
              <w:t xml:space="preserve">they could offer a wide variety of options. Anything from </w:t>
            </w:r>
            <w:r w:rsidR="00EE7C9D">
              <w:t>low-cost</w:t>
            </w:r>
            <w:r w:rsidR="00676F8E">
              <w:t xml:space="preserve"> properties to </w:t>
            </w:r>
            <w:r w:rsidR="00EE7C9D">
              <w:t>high-cost</w:t>
            </w:r>
            <w:r w:rsidR="00676F8E">
              <w:t xml:space="preserve"> villas.</w:t>
            </w:r>
          </w:p>
          <w:p w14:paraId="6D5E3933" w14:textId="77777777" w:rsidR="009217A5" w:rsidRDefault="009217A5" w:rsidP="00FE3F2E"/>
          <w:p w14:paraId="5C1C7A57" w14:textId="01078936" w:rsidR="009217A5" w:rsidRDefault="009217A5" w:rsidP="00FE3F2E">
            <w:r w:rsidRPr="009217A5">
              <w:rPr>
                <w:b/>
                <w:bCs/>
              </w:rPr>
              <w:t>Partnerships and Collaborations:</w:t>
            </w:r>
            <w:r w:rsidRPr="009217A5">
              <w:t xml:space="preserve"> </w:t>
            </w:r>
            <w:r w:rsidR="00C75764" w:rsidRPr="00C75764">
              <w:t>Working with local businesses and tour operators and cruises could be increased not only by mixing nature tourism with industrial heritage, but also by increasing the value of the properties and demand.</w:t>
            </w:r>
          </w:p>
        </w:tc>
        <w:tc>
          <w:tcPr>
            <w:tcW w:w="6278" w:type="dxa"/>
            <w:tcBorders>
              <w:bottom w:val="single" w:sz="4" w:space="0" w:color="auto"/>
            </w:tcBorders>
          </w:tcPr>
          <w:p w14:paraId="3D9E072A" w14:textId="77777777" w:rsidR="00787894" w:rsidRPr="005C7F57" w:rsidRDefault="00705844" w:rsidP="00FE3F2E">
            <w:pPr>
              <w:rPr>
                <w:b/>
                <w:bCs/>
                <w:sz w:val="32"/>
                <w:szCs w:val="32"/>
              </w:rPr>
            </w:pPr>
            <w:r w:rsidRPr="005C7F57">
              <w:rPr>
                <w:b/>
                <w:bCs/>
                <w:sz w:val="32"/>
                <w:szCs w:val="32"/>
              </w:rPr>
              <w:t>Threats</w:t>
            </w:r>
          </w:p>
          <w:p w14:paraId="0BA51912" w14:textId="59EA497C" w:rsidR="009217A5" w:rsidRDefault="00676F8E" w:rsidP="00FE3F2E">
            <w:r w:rsidRPr="00676F8E">
              <w:rPr>
                <w:b/>
                <w:bCs/>
              </w:rPr>
              <w:t>Intense Competition</w:t>
            </w:r>
            <w:r w:rsidRPr="00676F8E">
              <w:t xml:space="preserve">: </w:t>
            </w:r>
            <w:r w:rsidR="00C75764" w:rsidRPr="00C75764">
              <w:t xml:space="preserve">The competitors in the vacation rentals space especially incumbents like Airbnb and </w:t>
            </w:r>
            <w:proofErr w:type="spellStart"/>
            <w:r w:rsidR="00C75764" w:rsidRPr="00C75764">
              <w:t>Vrbo</w:t>
            </w:r>
            <w:proofErr w:type="spellEnd"/>
            <w:r w:rsidR="00C75764" w:rsidRPr="00C75764">
              <w:t xml:space="preserve"> – are well-established, have strong brand loyalty and are challenging to compete with.</w:t>
            </w:r>
          </w:p>
          <w:p w14:paraId="22F79E33" w14:textId="77777777" w:rsidR="00676F8E" w:rsidRDefault="00676F8E" w:rsidP="00FE3F2E"/>
          <w:p w14:paraId="21210988" w14:textId="4AB7D651" w:rsidR="00676F8E" w:rsidRDefault="00676F8E" w:rsidP="00FE3F2E">
            <w:r w:rsidRPr="00676F8E">
              <w:rPr>
                <w:b/>
                <w:bCs/>
              </w:rPr>
              <w:t>Regulatory Challenges</w:t>
            </w:r>
            <w:r w:rsidRPr="00676F8E">
              <w:t xml:space="preserve">: </w:t>
            </w:r>
            <w:r w:rsidR="00C75764" w:rsidRPr="00C75764">
              <w:t>Ability markets may be severely limited.</w:t>
            </w:r>
          </w:p>
          <w:p w14:paraId="5EAD54D1" w14:textId="77777777" w:rsidR="00676F8E" w:rsidRDefault="00676F8E" w:rsidP="00FE3F2E"/>
          <w:p w14:paraId="4B8E30A6" w14:textId="531D58F6" w:rsidR="009217A5" w:rsidRDefault="00676F8E" w:rsidP="00FE3F2E">
            <w:r w:rsidRPr="00676F8E">
              <w:rPr>
                <w:b/>
                <w:bCs/>
              </w:rPr>
              <w:t>Market Volatility</w:t>
            </w:r>
            <w:r w:rsidRPr="00676F8E">
              <w:t xml:space="preserve">: </w:t>
            </w:r>
            <w:r w:rsidR="00C75764" w:rsidRPr="00C75764">
              <w:t>Economic recessions, rising fuel prices and changing travel behaviours could have an impact on occupancy and demand in the travel industry both in hotels as well as in holiday homes.</w:t>
            </w:r>
          </w:p>
        </w:tc>
        <w:tc>
          <w:tcPr>
            <w:tcW w:w="498" w:type="dxa"/>
            <w:vMerge/>
            <w:tcBorders>
              <w:bottom w:val="single" w:sz="4" w:space="0" w:color="auto"/>
            </w:tcBorders>
            <w:shd w:val="clear" w:color="auto" w:fill="FF0000"/>
          </w:tcPr>
          <w:p w14:paraId="28ED3EC0" w14:textId="77777777" w:rsidR="00787894" w:rsidRDefault="00787894" w:rsidP="00FE3F2E"/>
        </w:tc>
      </w:tr>
      <w:tr w:rsidR="000745F1" w14:paraId="75C36013" w14:textId="77777777" w:rsidTr="003D0F97">
        <w:trPr>
          <w:trHeight w:val="416"/>
        </w:trPr>
        <w:tc>
          <w:tcPr>
            <w:tcW w:w="560" w:type="dxa"/>
            <w:tcBorders>
              <w:top w:val="single" w:sz="4" w:space="0" w:color="auto"/>
              <w:left w:val="nil"/>
              <w:bottom w:val="nil"/>
              <w:right w:val="single" w:sz="4" w:space="0" w:color="auto"/>
            </w:tcBorders>
          </w:tcPr>
          <w:p w14:paraId="3066B4DC" w14:textId="77777777" w:rsidR="00787894" w:rsidRDefault="00787894" w:rsidP="00FE3F2E"/>
        </w:tc>
        <w:tc>
          <w:tcPr>
            <w:tcW w:w="12592" w:type="dxa"/>
            <w:gridSpan w:val="2"/>
            <w:tcBorders>
              <w:left w:val="single" w:sz="4" w:space="0" w:color="auto"/>
              <w:right w:val="single" w:sz="4" w:space="0" w:color="auto"/>
            </w:tcBorders>
            <w:shd w:val="clear" w:color="auto" w:fill="2E74B5" w:themeFill="accent5" w:themeFillShade="BF"/>
          </w:tcPr>
          <w:p w14:paraId="63CFF460" w14:textId="1DF0AB01" w:rsidR="00787894" w:rsidRDefault="000745F1" w:rsidP="000745F1">
            <w:pPr>
              <w:jc w:val="center"/>
            </w:pPr>
            <w:r w:rsidRPr="000745F1">
              <w:rPr>
                <w:b/>
                <w:bCs/>
                <w:color w:val="FFFFFF" w:themeColor="background1"/>
              </w:rPr>
              <w:t>External Factors</w:t>
            </w:r>
          </w:p>
        </w:tc>
        <w:tc>
          <w:tcPr>
            <w:tcW w:w="498" w:type="dxa"/>
            <w:tcBorders>
              <w:top w:val="single" w:sz="4" w:space="0" w:color="auto"/>
              <w:left w:val="single" w:sz="4" w:space="0" w:color="auto"/>
              <w:bottom w:val="nil"/>
              <w:right w:val="nil"/>
            </w:tcBorders>
          </w:tcPr>
          <w:p w14:paraId="3BDF04AE" w14:textId="77777777" w:rsidR="00787894" w:rsidRDefault="00787894" w:rsidP="00FE3F2E"/>
        </w:tc>
      </w:tr>
    </w:tbl>
    <w:p w14:paraId="09D7C8D9" w14:textId="37FB66C4" w:rsidR="00FE3F2E" w:rsidRDefault="00FE3F2E" w:rsidP="000745F1"/>
    <w:sectPr w:rsidR="00FE3F2E" w:rsidSect="000745F1">
      <w:pgSz w:w="15840" w:h="12240" w:orient="landscape"/>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97245"/>
    <w:multiLevelType w:val="hybridMultilevel"/>
    <w:tmpl w:val="028AE766"/>
    <w:lvl w:ilvl="0" w:tplc="4FEEC722">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614126A"/>
    <w:multiLevelType w:val="hybridMultilevel"/>
    <w:tmpl w:val="6A6AD6B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81434717">
    <w:abstractNumId w:val="1"/>
  </w:num>
  <w:num w:numId="2" w16cid:durableId="823814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2E"/>
    <w:rsid w:val="000745F1"/>
    <w:rsid w:val="000D019A"/>
    <w:rsid w:val="000E6E98"/>
    <w:rsid w:val="001867B7"/>
    <w:rsid w:val="00186CCD"/>
    <w:rsid w:val="001A36D0"/>
    <w:rsid w:val="002F41B8"/>
    <w:rsid w:val="00393266"/>
    <w:rsid w:val="003D0F97"/>
    <w:rsid w:val="004268CA"/>
    <w:rsid w:val="004D04C8"/>
    <w:rsid w:val="005C7F57"/>
    <w:rsid w:val="005D049C"/>
    <w:rsid w:val="005D6BF5"/>
    <w:rsid w:val="00620390"/>
    <w:rsid w:val="00643B4C"/>
    <w:rsid w:val="00676F8E"/>
    <w:rsid w:val="006A2058"/>
    <w:rsid w:val="006C10EE"/>
    <w:rsid w:val="00705844"/>
    <w:rsid w:val="007436B8"/>
    <w:rsid w:val="00781170"/>
    <w:rsid w:val="00787894"/>
    <w:rsid w:val="00833633"/>
    <w:rsid w:val="008476A0"/>
    <w:rsid w:val="008A37DC"/>
    <w:rsid w:val="008E1294"/>
    <w:rsid w:val="009217A5"/>
    <w:rsid w:val="009D2DD7"/>
    <w:rsid w:val="00A10F71"/>
    <w:rsid w:val="00A61CED"/>
    <w:rsid w:val="00AA6817"/>
    <w:rsid w:val="00B640D2"/>
    <w:rsid w:val="00BC6D4E"/>
    <w:rsid w:val="00BC7D96"/>
    <w:rsid w:val="00BE321E"/>
    <w:rsid w:val="00C75764"/>
    <w:rsid w:val="00D12B46"/>
    <w:rsid w:val="00D9061F"/>
    <w:rsid w:val="00DA7EEF"/>
    <w:rsid w:val="00DD2493"/>
    <w:rsid w:val="00E23582"/>
    <w:rsid w:val="00E34A49"/>
    <w:rsid w:val="00E92E73"/>
    <w:rsid w:val="00E977AC"/>
    <w:rsid w:val="00EE7C9D"/>
    <w:rsid w:val="00F337E7"/>
    <w:rsid w:val="00FE3F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5266D"/>
  <w15:chartTrackingRefBased/>
  <w15:docId w15:val="{AF8FDB26-8126-4B18-9CE7-D464BAC07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45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F2E"/>
    <w:pPr>
      <w:ind w:left="720"/>
      <w:contextualSpacing/>
    </w:pPr>
  </w:style>
  <w:style w:type="character" w:styleId="Hyperlink">
    <w:name w:val="Hyperlink"/>
    <w:basedOn w:val="DefaultParagraphFont"/>
    <w:uiPriority w:val="99"/>
    <w:unhideWhenUsed/>
    <w:rsid w:val="00FE3F2E"/>
    <w:rPr>
      <w:color w:val="0563C1" w:themeColor="hyperlink"/>
      <w:u w:val="single"/>
    </w:rPr>
  </w:style>
  <w:style w:type="character" w:styleId="UnresolvedMention">
    <w:name w:val="Unresolved Mention"/>
    <w:basedOn w:val="DefaultParagraphFont"/>
    <w:uiPriority w:val="99"/>
    <w:semiHidden/>
    <w:unhideWhenUsed/>
    <w:rsid w:val="00FE3F2E"/>
    <w:rPr>
      <w:color w:val="605E5C"/>
      <w:shd w:val="clear" w:color="auto" w:fill="E1DFDD"/>
    </w:rPr>
  </w:style>
  <w:style w:type="table" w:styleId="TableGrid">
    <w:name w:val="Table Grid"/>
    <w:basedOn w:val="TableNormal"/>
    <w:uiPriority w:val="39"/>
    <w:rsid w:val="00F337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745F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09/13/marriott-built-its-airbnb-before-coronavirus-crash-did-it-help.html" TargetMode="External"/><Relationship Id="rId5" Type="http://schemas.openxmlformats.org/officeDocument/2006/relationships/hyperlink" Target="https://www.google.com/finance/quote/MAR:NASDA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Campanis,George</dc:creator>
  <cp:keywords/>
  <dc:description/>
  <cp:lastModifiedBy>Elaine da Silva</cp:lastModifiedBy>
  <cp:revision>7</cp:revision>
  <dcterms:created xsi:type="dcterms:W3CDTF">2024-10-04T14:18:00Z</dcterms:created>
  <dcterms:modified xsi:type="dcterms:W3CDTF">2024-10-07T12:17:00Z</dcterms:modified>
</cp:coreProperties>
</file>