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line="264" w:lineRule="auto"/>
        <w:jc w:val="center"/>
      </w:pPr>
      <w:r>
        <w:rPr>
          <w:rFonts w:ascii="Noto Sans CJK SC" w:hAnsi="Noto Sans CJK SC" w:eastAsia="Noto Sans CJK SC"/>
          <w:b/>
          <w:color w:val="17324D"/>
          <w:sz w:val="56"/>
        </w:rPr>
        <w:t>加密市场分析与</w:t>
        <w:br/>
        <w:t>Variational 自动交易系统</w:t>
      </w:r>
    </w:p>
    <w:p>
      <w:pPr>
        <w:spacing w:before="240"/>
        <w:jc w:val="center"/>
      </w:pPr>
      <w:r>
        <w:rPr>
          <w:rFonts w:ascii="Noto Sans CJK SC" w:hAnsi="Noto Sans CJK SC" w:eastAsia="Noto Sans CJK SC"/>
          <w:b/>
          <w:color w:val="2B6CB0"/>
          <w:sz w:val="32"/>
        </w:rPr>
        <w:t>产品需求与技术实施规格说明书</w:t>
      </w:r>
    </w:p>
    <w:p>
      <w:pPr>
        <w:spacing w:before="320"/>
        <w:jc w:val="center"/>
      </w:pPr>
      <w:r>
        <w:rPr>
          <w:rFonts w:ascii="Noto Sans CJK SC" w:hAnsi="Noto Sans CJK SC" w:eastAsia="Noto Sans CJK SC"/>
          <w:color w:val="5B6573"/>
          <w:sz w:val="24"/>
        </w:rPr>
        <w:t>V1.0｜个人真实资金内测版</w:t>
      </w:r>
    </w:p>
    <w:p>
      <w:pPr>
        <w:spacing w:before="1100"/>
      </w:pPr>
    </w:p>
    <w:tbl>
      <w:tblPr>
        <w:tblW w:type="auto" w:w="0"/>
        <w:jc w:val="center"/>
        <w:tblLayout w:type="fixed"/>
        <w:tblLook w:firstColumn="1" w:firstRow="1" w:lastColumn="0" w:lastRow="0" w:noHBand="0" w:noVBand="1" w:val="04A0"/>
      </w:tblPr>
      <w:tblGrid>
        <w:gridCol w:w="4819"/>
        <w:gridCol w:w="4819"/>
      </w:tblGrid>
      <w:tr>
        <w:tc>
          <w:tcPr>
            <w:tcW w:type="dxa" w:w="2041"/>
            <w:shd w:fill="EAF3FB"/>
            <w:tcMar>
              <w:top w:w="100" w:type="dxa"/>
              <w:start w:w="120" w:type="dxa"/>
              <w:bottom w:w="100" w:type="dxa"/>
              <w:end w:w="120" w:type="dxa"/>
            </w:tcMar>
            <w:tcBorders>
              <w:top w:val="single" w:sz="4" w:color="C8D2DC"/>
              <w:left w:val="single" w:sz="4" w:color="C8D2DC"/>
              <w:bottom w:val="single" w:sz="4" w:color="C8D2DC"/>
              <w:right w:val="single" w:sz="4" w:color="C8D2DC"/>
            </w:tcBorders>
          </w:tcPr>
          <w:p>
            <w:r>
              <w:rPr>
                <w:rFonts w:ascii="Noto Sans CJK SC" w:hAnsi="Noto Sans CJK SC" w:eastAsia="Noto Sans CJK SC"/>
                <w:b/>
                <w:color w:val="17324D"/>
                <w:sz w:val="20"/>
              </w:rPr>
              <w:t>文档状态</w:t>
            </w:r>
          </w:p>
        </w:tc>
        <w:tc>
          <w:tcPr>
            <w:tcW w:type="dxa" w:w="6350"/>
            <w:tcMar>
              <w:top w:w="100" w:type="dxa"/>
              <w:start w:w="120" w:type="dxa"/>
              <w:bottom w:w="100" w:type="dxa"/>
              <w:end w:w="120" w:type="dxa"/>
            </w:tcMar>
            <w:tcBorders>
              <w:top w:val="single" w:sz="4" w:color="C8D2DC"/>
              <w:left w:val="single" w:sz="4" w:color="C8D2DC"/>
              <w:bottom w:val="single" w:sz="4" w:color="C8D2DC"/>
              <w:right w:val="single" w:sz="4" w:color="C8D2DC"/>
            </w:tcBorders>
          </w:tcPr>
          <w:p>
            <w:r>
              <w:rPr>
                <w:rFonts w:ascii="Noto Sans CJK SC" w:hAnsi="Noto Sans CJK SC" w:eastAsia="Noto Sans CJK SC"/>
                <w:color w:val="222222"/>
                <w:sz w:val="20"/>
              </w:rPr>
              <w:t>已确认，可进入开发</w:t>
            </w:r>
          </w:p>
        </w:tc>
      </w:tr>
      <w:tr>
        <w:tc>
          <w:tcPr>
            <w:tcW w:type="dxa" w:w="2041"/>
            <w:shd w:fill="EAF3FB"/>
            <w:tcMar>
              <w:top w:w="100" w:type="dxa"/>
              <w:start w:w="120" w:type="dxa"/>
              <w:bottom w:w="100" w:type="dxa"/>
              <w:end w:w="120" w:type="dxa"/>
            </w:tcMar>
            <w:tcBorders>
              <w:top w:val="single" w:sz="4" w:color="C8D2DC"/>
              <w:left w:val="single" w:sz="4" w:color="C8D2DC"/>
              <w:bottom w:val="single" w:sz="4" w:color="C8D2DC"/>
              <w:right w:val="single" w:sz="4" w:color="C8D2DC"/>
            </w:tcBorders>
          </w:tcPr>
          <w:p>
            <w:r>
              <w:rPr>
                <w:rFonts w:ascii="Noto Sans CJK SC" w:hAnsi="Noto Sans CJK SC" w:eastAsia="Noto Sans CJK SC"/>
                <w:b/>
                <w:color w:val="17324D"/>
                <w:sz w:val="20"/>
              </w:rPr>
              <w:t>需求冻结日期</w:t>
            </w:r>
          </w:p>
        </w:tc>
        <w:tc>
          <w:tcPr>
            <w:tcW w:type="dxa" w:w="6350"/>
            <w:tcMar>
              <w:top w:w="100" w:type="dxa"/>
              <w:start w:w="120" w:type="dxa"/>
              <w:bottom w:w="100" w:type="dxa"/>
              <w:end w:w="120" w:type="dxa"/>
            </w:tcMar>
            <w:tcBorders>
              <w:top w:val="single" w:sz="4" w:color="C8D2DC"/>
              <w:left w:val="single" w:sz="4" w:color="C8D2DC"/>
              <w:bottom w:val="single" w:sz="4" w:color="C8D2DC"/>
              <w:right w:val="single" w:sz="4" w:color="C8D2DC"/>
            </w:tcBorders>
          </w:tcPr>
          <w:p>
            <w:r>
              <w:rPr>
                <w:rFonts w:ascii="Noto Sans CJK SC" w:hAnsi="Noto Sans CJK SC" w:eastAsia="Noto Sans CJK SC"/>
                <w:color w:val="222222"/>
                <w:sz w:val="20"/>
              </w:rPr>
              <w:t>2026-08-04（UTC+8）</w:t>
            </w:r>
          </w:p>
        </w:tc>
      </w:tr>
      <w:tr>
        <w:tc>
          <w:tcPr>
            <w:tcW w:type="dxa" w:w="2041"/>
            <w:shd w:fill="EAF3FB"/>
            <w:tcMar>
              <w:top w:w="100" w:type="dxa"/>
              <w:start w:w="120" w:type="dxa"/>
              <w:bottom w:w="100" w:type="dxa"/>
              <w:end w:w="120" w:type="dxa"/>
            </w:tcMar>
            <w:tcBorders>
              <w:top w:val="single" w:sz="4" w:color="C8D2DC"/>
              <w:left w:val="single" w:sz="4" w:color="C8D2DC"/>
              <w:bottom w:val="single" w:sz="4" w:color="C8D2DC"/>
              <w:right w:val="single" w:sz="4" w:color="C8D2DC"/>
            </w:tcBorders>
          </w:tcPr>
          <w:p>
            <w:r>
              <w:rPr>
                <w:rFonts w:ascii="Noto Sans CJK SC" w:hAnsi="Noto Sans CJK SC" w:eastAsia="Noto Sans CJK SC"/>
                <w:b/>
                <w:color w:val="17324D"/>
                <w:sz w:val="20"/>
              </w:rPr>
              <w:t>目标运行环境</w:t>
            </w:r>
          </w:p>
        </w:tc>
        <w:tc>
          <w:tcPr>
            <w:tcW w:type="dxa" w:w="6350"/>
            <w:tcMar>
              <w:top w:w="100" w:type="dxa"/>
              <w:start w:w="120" w:type="dxa"/>
              <w:bottom w:w="100" w:type="dxa"/>
              <w:end w:w="120" w:type="dxa"/>
            </w:tcMar>
            <w:tcBorders>
              <w:top w:val="single" w:sz="4" w:color="C8D2DC"/>
              <w:left w:val="single" w:sz="4" w:color="C8D2DC"/>
              <w:bottom w:val="single" w:sz="4" w:color="C8D2DC"/>
              <w:right w:val="single" w:sz="4" w:color="C8D2DC"/>
            </w:tcBorders>
          </w:tcPr>
          <w:p>
            <w:r>
              <w:rPr>
                <w:rFonts w:ascii="Noto Sans CJK SC" w:hAnsi="Noto Sans CJK SC" w:eastAsia="Noto Sans CJK SC"/>
                <w:color w:val="222222"/>
                <w:sz w:val="20"/>
              </w:rPr>
              <w:t>MacBook 本机 7×24；后续迁移 Linux 单机服务器</w:t>
            </w:r>
          </w:p>
        </w:tc>
      </w:tr>
      <w:tr>
        <w:tc>
          <w:tcPr>
            <w:tcW w:type="dxa" w:w="2041"/>
            <w:shd w:fill="EAF3FB"/>
            <w:tcMar>
              <w:top w:w="100" w:type="dxa"/>
              <w:start w:w="120" w:type="dxa"/>
              <w:bottom w:w="100" w:type="dxa"/>
              <w:end w:w="120" w:type="dxa"/>
            </w:tcMar>
            <w:tcBorders>
              <w:top w:val="single" w:sz="4" w:color="C8D2DC"/>
              <w:left w:val="single" w:sz="4" w:color="C8D2DC"/>
              <w:bottom w:val="single" w:sz="4" w:color="C8D2DC"/>
              <w:right w:val="single" w:sz="4" w:color="C8D2DC"/>
            </w:tcBorders>
          </w:tcPr>
          <w:p>
            <w:r>
              <w:rPr>
                <w:rFonts w:ascii="Noto Sans CJK SC" w:hAnsi="Noto Sans CJK SC" w:eastAsia="Noto Sans CJK SC"/>
                <w:b/>
                <w:color w:val="17324D"/>
                <w:sz w:val="20"/>
              </w:rPr>
              <w:t>核心原则</w:t>
            </w:r>
          </w:p>
        </w:tc>
        <w:tc>
          <w:tcPr>
            <w:tcW w:type="dxa" w:w="6350"/>
            <w:tcMar>
              <w:top w:w="100" w:type="dxa"/>
              <w:start w:w="120" w:type="dxa"/>
              <w:bottom w:w="100" w:type="dxa"/>
              <w:end w:w="120" w:type="dxa"/>
            </w:tcMar>
            <w:tcBorders>
              <w:top w:val="single" w:sz="4" w:color="C8D2DC"/>
              <w:left w:val="single" w:sz="4" w:color="C8D2DC"/>
              <w:bottom w:val="single" w:sz="4" w:color="C8D2DC"/>
              <w:right w:val="single" w:sz="4" w:color="C8D2DC"/>
            </w:tcBorders>
          </w:tcPr>
          <w:p>
            <w:r>
              <w:rPr>
                <w:rFonts w:ascii="Noto Sans CJK SC" w:hAnsi="Noto Sans CJK SC" w:eastAsia="Noto Sans CJK SC"/>
                <w:color w:val="222222"/>
                <w:sz w:val="20"/>
              </w:rPr>
              <w:t>确定性数据分析 + 可审计自动执行；第一版不使用 AI</w:t>
            </w:r>
          </w:p>
        </w:tc>
      </w:tr>
    </w:tbl>
    <w:p>
      <w:pPr>
        <w:spacing w:before="800"/>
        <w:jc w:val="center"/>
      </w:pPr>
      <w:r>
        <w:rPr>
          <w:rFonts w:ascii="Noto Sans CJK SC" w:hAnsi="Noto Sans CJK SC" w:eastAsia="Noto Sans CJK SC"/>
          <w:i/>
          <w:color w:val="5B6573"/>
          <w:sz w:val="19"/>
        </w:rPr>
        <w:t>本文件取代此前所有草案；冲突项以本文件中的“最终规则”为准。</w:t>
      </w:r>
    </w:p>
    <w:p>
      <w:r>
        <w:br w:type="page"/>
      </w:r>
    </w:p>
    <w:p>
      <w:pPr>
        <w:pStyle w:val="Heading1"/>
      </w:pPr>
      <w:r>
        <w:t>文档目录</w:t>
      </w:r>
    </w:p>
    <w:p>
      <w:pPr>
        <w:spacing w:after="60" w:before="0" w:line="276" w:lineRule="auto"/>
      </w:pPr>
      <w:r>
        <w:rPr>
          <w:rFonts w:ascii="Noto Sans CJK SC" w:hAnsi="Noto Sans CJK SC" w:eastAsia="Noto Sans CJK SC"/>
          <w:b w:val="0"/>
          <w:color w:val="17324D"/>
          <w:sz w:val="21"/>
        </w:rPr>
        <w:t>1. 项目目标与成功标准</w:t>
      </w:r>
    </w:p>
    <w:p>
      <w:pPr>
        <w:spacing w:after="60" w:before="0" w:line="276" w:lineRule="auto"/>
      </w:pPr>
      <w:r>
        <w:rPr>
          <w:rFonts w:ascii="Noto Sans CJK SC" w:hAnsi="Noto Sans CJK SC" w:eastAsia="Noto Sans CJK SC"/>
          <w:b w:val="0"/>
          <w:color w:val="17324D"/>
          <w:sz w:val="21"/>
        </w:rPr>
        <w:t>2. 第一版范围与明确排除项</w:t>
      </w:r>
    </w:p>
    <w:p>
      <w:pPr>
        <w:spacing w:after="60" w:before="0" w:line="276" w:lineRule="auto"/>
      </w:pPr>
      <w:r>
        <w:rPr>
          <w:rFonts w:ascii="Noto Sans CJK SC" w:hAnsi="Noto Sans CJK SC" w:eastAsia="Noto Sans CJK SC"/>
          <w:b w:val="0"/>
          <w:color w:val="17324D"/>
          <w:sz w:val="21"/>
        </w:rPr>
        <w:t>3. 总体架构与部署方式</w:t>
      </w:r>
    </w:p>
    <w:p>
      <w:pPr>
        <w:spacing w:after="60" w:before="0" w:line="276" w:lineRule="auto"/>
      </w:pPr>
      <w:r>
        <w:rPr>
          <w:rFonts w:ascii="Noto Sans CJK SC" w:hAnsi="Noto Sans CJK SC" w:eastAsia="Noto Sans CJK SC"/>
          <w:b w:val="0"/>
          <w:color w:val="17324D"/>
          <w:sz w:val="21"/>
        </w:rPr>
        <w:t>4. 币种管理与数据源</w:t>
      </w:r>
    </w:p>
    <w:p>
      <w:pPr>
        <w:spacing w:after="60" w:before="0" w:line="276" w:lineRule="auto"/>
      </w:pPr>
      <w:r>
        <w:rPr>
          <w:rFonts w:ascii="Noto Sans CJK SC" w:hAnsi="Noto Sans CJK SC" w:eastAsia="Noto Sans CJK SC"/>
          <w:b w:val="0"/>
          <w:color w:val="17324D"/>
          <w:sz w:val="21"/>
        </w:rPr>
        <w:t>5. 市场状态与指标计算</w:t>
      </w:r>
    </w:p>
    <w:p>
      <w:pPr>
        <w:spacing w:after="60" w:before="0" w:line="276" w:lineRule="auto"/>
      </w:pPr>
      <w:r>
        <w:rPr>
          <w:rFonts w:ascii="Noto Sans CJK SC" w:hAnsi="Noto Sans CJK SC" w:eastAsia="Noto Sans CJK SC"/>
          <w:b w:val="0"/>
          <w:color w:val="17324D"/>
          <w:sz w:val="21"/>
        </w:rPr>
        <w:t>6. 策略管理与信号生成</w:t>
      </w:r>
    </w:p>
    <w:p>
      <w:pPr>
        <w:spacing w:after="60" w:before="0" w:line="276" w:lineRule="auto"/>
      </w:pPr>
      <w:r>
        <w:rPr>
          <w:rFonts w:ascii="Noto Sans CJK SC" w:hAnsi="Noto Sans CJK SC" w:eastAsia="Noto Sans CJK SC"/>
          <w:b w:val="0"/>
          <w:color w:val="17324D"/>
          <w:sz w:val="21"/>
        </w:rPr>
        <w:t>7. Heatmap 入场与止盈规则</w:t>
      </w:r>
    </w:p>
    <w:p>
      <w:pPr>
        <w:spacing w:after="60" w:before="0" w:line="276" w:lineRule="auto"/>
      </w:pPr>
      <w:r>
        <w:rPr>
          <w:rFonts w:ascii="Noto Sans CJK SC" w:hAnsi="Noto Sans CJK SC" w:eastAsia="Noto Sans CJK SC"/>
          <w:b w:val="0"/>
          <w:color w:val="17324D"/>
          <w:sz w:val="21"/>
        </w:rPr>
        <w:t>8. 下单、止损、仓位与风险控制</w:t>
      </w:r>
    </w:p>
    <w:p>
      <w:pPr>
        <w:spacing w:after="60" w:before="0" w:line="276" w:lineRule="auto"/>
      </w:pPr>
      <w:r>
        <w:rPr>
          <w:rFonts w:ascii="Noto Sans CJK SC" w:hAnsi="Noto Sans CJK SC" w:eastAsia="Noto Sans CJK SC"/>
          <w:b w:val="0"/>
          <w:color w:val="17324D"/>
          <w:sz w:val="21"/>
        </w:rPr>
        <w:t>9. Variational 执行与对账</w:t>
      </w:r>
    </w:p>
    <w:p>
      <w:pPr>
        <w:spacing w:after="60" w:before="0" w:line="276" w:lineRule="auto"/>
      </w:pPr>
      <w:r>
        <w:rPr>
          <w:rFonts w:ascii="Noto Sans CJK SC" w:hAnsi="Noto Sans CJK SC" w:eastAsia="Noto Sans CJK SC"/>
          <w:b w:val="0"/>
          <w:color w:val="17324D"/>
          <w:sz w:val="21"/>
        </w:rPr>
        <w:t>10. 暂停、恢复与故障处理</w:t>
      </w:r>
    </w:p>
    <w:p>
      <w:pPr>
        <w:spacing w:after="60" w:before="0" w:line="276" w:lineRule="auto"/>
      </w:pPr>
      <w:r>
        <w:rPr>
          <w:rFonts w:ascii="Noto Sans CJK SC" w:hAnsi="Noto Sans CJK SC" w:eastAsia="Noto Sans CJK SC"/>
          <w:b w:val="0"/>
          <w:color w:val="17324D"/>
          <w:sz w:val="21"/>
        </w:rPr>
        <w:t>11. Telegram 通知</w:t>
      </w:r>
    </w:p>
    <w:p>
      <w:pPr>
        <w:spacing w:after="60" w:before="0" w:line="276" w:lineRule="auto"/>
      </w:pPr>
      <w:r>
        <w:rPr>
          <w:rFonts w:ascii="Noto Sans CJK SC" w:hAnsi="Noto Sans CJK SC" w:eastAsia="Noto Sans CJK SC"/>
          <w:b w:val="0"/>
          <w:color w:val="17324D"/>
          <w:sz w:val="21"/>
        </w:rPr>
        <w:t>12. Dashboard 与后台管理</w:t>
      </w:r>
    </w:p>
    <w:p>
      <w:pPr>
        <w:spacing w:after="60" w:before="0" w:line="276" w:lineRule="auto"/>
      </w:pPr>
      <w:r>
        <w:rPr>
          <w:rFonts w:ascii="Noto Sans CJK SC" w:hAnsi="Noto Sans CJK SC" w:eastAsia="Noto Sans CJK SC"/>
          <w:b w:val="0"/>
          <w:color w:val="17324D"/>
          <w:sz w:val="21"/>
        </w:rPr>
        <w:t>13. 数据存储、安全与运维</w:t>
      </w:r>
    </w:p>
    <w:p>
      <w:pPr>
        <w:spacing w:after="60" w:before="0" w:line="276" w:lineRule="auto"/>
      </w:pPr>
      <w:r>
        <w:rPr>
          <w:rFonts w:ascii="Noto Sans CJK SC" w:hAnsi="Noto Sans CJK SC" w:eastAsia="Noto Sans CJK SC"/>
          <w:b w:val="0"/>
          <w:color w:val="17324D"/>
          <w:sz w:val="21"/>
        </w:rPr>
        <w:t>14. 统计口径与验收标准</w:t>
      </w:r>
    </w:p>
    <w:p>
      <w:pPr>
        <w:spacing w:after="60" w:before="0" w:line="276" w:lineRule="auto"/>
      </w:pPr>
      <w:r>
        <w:rPr>
          <w:rFonts w:ascii="Noto Sans CJK SC" w:hAnsi="Noto Sans CJK SC" w:eastAsia="Noto Sans CJK SC"/>
          <w:b w:val="0"/>
          <w:color w:val="17324D"/>
          <w:sz w:val="21"/>
        </w:rPr>
        <w:t>15. 开发阶段与交付顺序</w:t>
      </w:r>
    </w:p>
    <w:p>
      <w:pPr>
        <w:spacing w:after="60" w:before="0" w:line="276" w:lineRule="auto"/>
      </w:pPr>
      <w:r>
        <w:rPr>
          <w:rFonts w:ascii="Noto Sans CJK SC" w:hAnsi="Noto Sans CJK SC" w:eastAsia="Noto Sans CJK SC"/>
          <w:b w:val="0"/>
          <w:color w:val="17324D"/>
          <w:sz w:val="21"/>
        </w:rPr>
        <w:t>附录 A. 固定参数表</w:t>
      </w:r>
    </w:p>
    <w:p>
      <w:pPr>
        <w:spacing w:after="60" w:before="0" w:line="276" w:lineRule="auto"/>
      </w:pPr>
      <w:r>
        <w:rPr>
          <w:rFonts w:ascii="Noto Sans CJK SC" w:hAnsi="Noto Sans CJK SC" w:eastAsia="Noto Sans CJK SC"/>
          <w:b w:val="0"/>
          <w:color w:val="17324D"/>
          <w:sz w:val="21"/>
        </w:rPr>
        <w:t>附录 B. 状态机与关键事件</w:t>
      </w:r>
    </w:p>
    <w:tbl>
      <w:tblPr>
        <w:tblW w:type="auto" w:w="0"/>
        <w:jc w:val="center"/>
        <w:tblLayout w:type="autofit"/>
        <w:tblLook w:firstColumn="1" w:firstRow="1" w:lastColumn="0" w:lastRow="0" w:noHBand="0" w:noVBand="1" w:val="04A0"/>
      </w:tblPr>
      <w:tblGrid>
        <w:gridCol w:w="9638"/>
      </w:tblGrid>
      <w:tr>
        <w:tc>
          <w:tcPr>
            <w:tcW w:type="dxa" w:w="9638"/>
            <w:shd w:fill="FFF7D6"/>
            <w:tcBorders>
              <w:top w:val="single" w:sz="8" w:color="D6A700"/>
              <w:left w:val="single" w:sz="8" w:color="D6A700"/>
              <w:bottom w:val="single" w:sz="8" w:color="D6A700"/>
              <w:right w:val="single" w:sz="8" w:color="D6A700"/>
            </w:tcBorders>
            <w:tcMar>
              <w:top w:w="130" w:type="dxa"/>
              <w:start w:w="160" w:type="dxa"/>
              <w:bottom w:w="130" w:type="dxa"/>
              <w:end w:w="160" w:type="dxa"/>
            </w:tcMar>
          </w:tcPr>
          <w:p>
            <w:pPr>
              <w:spacing w:after="0" w:line="269" w:lineRule="auto"/>
            </w:pPr>
            <w:r>
              <w:rPr>
                <w:rFonts w:ascii="Noto Sans CJK SC" w:hAnsi="Noto Sans CJK SC" w:eastAsia="Noto Sans CJK SC"/>
                <w:b/>
                <w:color w:val="17324D"/>
                <w:sz w:val="21"/>
              </w:rPr>
              <w:t>最终选择覆盖说明</w:t>
            </w:r>
            <w:r>
              <w:rPr>
                <w:rFonts w:ascii="Noto Sans CJK SC" w:hAnsi="Noto Sans CJK SC" w:eastAsia="Noto Sans CJK SC"/>
                <w:color w:val="26323E"/>
                <w:sz w:val="20"/>
              </w:rPr>
              <w:br/>
              <w:t>最新确认覆盖早期草案：Funding 只判断异常、不参与方向；Heatmap 选最强有效区，不使用强度/距离加权评分；Variational 掉线期间信号不补单；第一版完全不做备份。</w:t>
            </w:r>
          </w:p>
        </w:tc>
      </w:tr>
    </w:tbl>
    <w:p>
      <w:pPr>
        <w:spacing w:after="0"/>
      </w:pPr>
    </w:p>
    <w:p>
      <w:pPr>
        <w:pStyle w:val="Heading1"/>
      </w:pPr>
      <w:r>
        <w:t>1. 项目目标与成功标准</w:t>
      </w:r>
    </w:p>
    <w:p>
      <w:pPr>
        <w:spacing w:after="80" w:before="0" w:line="276" w:lineRule="auto"/>
      </w:pPr>
      <w:r>
        <w:rPr>
          <w:rFonts w:ascii="Noto Sans CJK SC" w:hAnsi="Noto Sans CJK SC" w:eastAsia="Noto Sans CJK SC"/>
          <w:b w:val="0"/>
          <w:color w:val="222222"/>
          <w:sz w:val="21"/>
        </w:rPr>
        <w:t>本项目是一套面向个人使用的加密货币市场分析、策略信号与 Variational 自动执行系统。第一版直接使用真实资金，以小额固定仓位验证数据、信号与执行链路的可靠性。产品化、多用户和商业化均不属于当前阶段。</w:t>
      </w:r>
    </w:p>
    <w:p>
      <w:pPr>
        <w:pStyle w:val="Heading2"/>
      </w:pPr>
      <w:r>
        <w:t>1.1 核心目标</w:t>
      </w:r>
    </w:p>
    <w:p>
      <w:pPr>
        <w:pStyle w:val="ListBullet"/>
        <w:spacing w:after="40" w:line="269" w:lineRule="auto"/>
      </w:pPr>
      <w:r>
        <w:rPr>
          <w:rFonts w:ascii="Noto Sans CJK SC" w:hAnsi="Noto Sans CJK SC" w:eastAsia="Noto Sans CJK SC"/>
          <w:color w:val="222222"/>
          <w:sz w:val="20"/>
        </w:rPr>
        <w:t>对手工维护的 10～50 个主流币种进行稳定、可审计的 15 分钟级扫描。</w:t>
      </w:r>
    </w:p>
    <w:p>
      <w:pPr>
        <w:pStyle w:val="ListBullet"/>
        <w:spacing w:after="40" w:line="269" w:lineRule="auto"/>
      </w:pPr>
      <w:r>
        <w:rPr>
          <w:rFonts w:ascii="Noto Sans CJK SC" w:hAnsi="Noto Sans CJK SC" w:eastAsia="Noto Sans CJK SC"/>
          <w:color w:val="222222"/>
          <w:sz w:val="20"/>
        </w:rPr>
        <w:t>仅使用 Binance USDT 永续数据和 CoinGlass 的 Binance 单交易所清算热力图，形成统一市场口径。</w:t>
      </w:r>
    </w:p>
    <w:p>
      <w:pPr>
        <w:pStyle w:val="ListBullet"/>
        <w:spacing w:after="40" w:line="269" w:lineRule="auto"/>
      </w:pPr>
      <w:r>
        <w:rPr>
          <w:rFonts w:ascii="Noto Sans CJK SC" w:hAnsi="Noto Sans CJK SC" w:eastAsia="Noto Sans CJK SC"/>
          <w:color w:val="222222"/>
          <w:sz w:val="20"/>
        </w:rPr>
        <w:t>用固定、确定性的规则计算 OI、CVD、Funding、Heatmap 条件以及 BTC 大趋势，不依赖 AI 判断。</w:t>
      </w:r>
    </w:p>
    <w:p>
      <w:pPr>
        <w:pStyle w:val="ListBullet"/>
        <w:spacing w:after="40" w:line="269" w:lineRule="auto"/>
      </w:pPr>
      <w:r>
        <w:rPr>
          <w:rFonts w:ascii="Noto Sans CJK SC" w:hAnsi="Noto Sans CJK SC" w:eastAsia="Noto Sans CJK SC"/>
          <w:color w:val="222222"/>
          <w:sz w:val="20"/>
        </w:rPr>
        <w:t>在信号成立时，通过 Variational 创建真实限价单并附带止盈、止损。</w:t>
      </w:r>
    </w:p>
    <w:p>
      <w:pPr>
        <w:pStyle w:val="ListBullet"/>
        <w:spacing w:after="40" w:line="269" w:lineRule="auto"/>
      </w:pPr>
      <w:r>
        <w:rPr>
          <w:rFonts w:ascii="Noto Sans CJK SC" w:hAnsi="Noto Sans CJK SC" w:eastAsia="Noto Sans CJK SC"/>
          <w:color w:val="222222"/>
          <w:sz w:val="20"/>
        </w:rPr>
        <w:t>在登录失效、数据中断、订单异常和保护单异常时，以“停止新增风险、保留审计记录、通知人工”为优先原则。</w:t>
      </w:r>
    </w:p>
    <w:p>
      <w:pPr>
        <w:pStyle w:val="ListBullet"/>
        <w:spacing w:after="40" w:line="269" w:lineRule="auto"/>
      </w:pPr>
      <w:r>
        <w:rPr>
          <w:rFonts w:ascii="Noto Sans CJK SC" w:hAnsi="Noto Sans CJK SC" w:eastAsia="Noto Sans CJK SC"/>
          <w:color w:val="222222"/>
          <w:sz w:val="20"/>
        </w:rPr>
        <w:t>在 MacBook 本地长期运行，并能以较低迁移成本搬到 Linux 单机服务器。</w:t>
      </w:r>
    </w:p>
    <w:p>
      <w:pPr>
        <w:pStyle w:val="Heading2"/>
      </w:pPr>
      <w:r>
        <w:t>1.2 V1 成功标准</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757"/>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维度</w:t>
            </w:r>
          </w:p>
        </w:tc>
        <w:tc>
          <w:tcPr>
            <w:tcW w:type="dxa" w:w="7597"/>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验收描述</w:t>
            </w:r>
          </w:p>
        </w:tc>
      </w:tr>
      <w:tr>
        <w:trPr>
          <w:cantSplit/>
        </w:trPr>
        <w:tc>
          <w:tcPr>
            <w:tcW w:type="dxa" w:w="175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数据完整性</w:t>
            </w:r>
          </w:p>
        </w:tc>
        <w:tc>
          <w:tcPr>
            <w:tcW w:type="dxa" w:w="759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每次 15 分钟收盘扫描均能说明使用了哪些输入、每个条件是否满足、为何生成或拒绝信号。</w:t>
            </w:r>
          </w:p>
        </w:tc>
      </w:tr>
      <w:tr>
        <w:trPr>
          <w:cantSplit/>
        </w:trPr>
        <w:tc>
          <w:tcPr>
            <w:tcW w:type="dxa" w:w="175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执行可靠性</w:t>
            </w:r>
          </w:p>
        </w:tc>
        <w:tc>
          <w:tcPr>
            <w:tcW w:type="dxa" w:w="759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本地订单状态与 Variational 实际挂单、持仓、成交历史能够持续对账；重启后不会重复下单。</w:t>
            </w:r>
          </w:p>
        </w:tc>
      </w:tr>
      <w:tr>
        <w:trPr>
          <w:cantSplit/>
        </w:trPr>
        <w:tc>
          <w:tcPr>
            <w:tcW w:type="dxa" w:w="175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风险可控</w:t>
            </w:r>
          </w:p>
        </w:tc>
        <w:tc>
          <w:tcPr>
            <w:tcW w:type="dxa" w:w="759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所有新订单必须满足方向过滤、最小盈亏比、单币并发上限和账户保证金占用上限。</w:t>
            </w:r>
          </w:p>
        </w:tc>
      </w:tr>
      <w:tr>
        <w:trPr>
          <w:cantSplit/>
        </w:trPr>
        <w:tc>
          <w:tcPr>
            <w:tcW w:type="dxa" w:w="175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异常可见</w:t>
            </w:r>
          </w:p>
        </w:tc>
        <w:tc>
          <w:tcPr>
            <w:tcW w:type="dxa" w:w="759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关键异常在 Dashboard 清晰呈现；Telegram 正常时可及时通知。</w:t>
            </w:r>
          </w:p>
        </w:tc>
      </w:tr>
      <w:tr>
        <w:trPr>
          <w:cantSplit/>
        </w:trPr>
        <w:tc>
          <w:tcPr>
            <w:tcW w:type="dxa" w:w="175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迁移能力</w:t>
            </w:r>
          </w:p>
        </w:tc>
        <w:tc>
          <w:tcPr>
            <w:tcW w:type="dxa" w:w="759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除 macOS 原生 Variational Agent 外，其余服务可通过 Docker Compose 运行；迁移 Linux 不重写业务代码。</w:t>
            </w:r>
          </w:p>
        </w:tc>
      </w:tr>
    </w:tbl>
    <w:p>
      <w:pPr>
        <w:spacing w:after="0"/>
      </w:pPr>
    </w:p>
    <w:p>
      <w:pPr>
        <w:pStyle w:val="Heading1"/>
      </w:pPr>
      <w:r>
        <w:t>2. 第一版范围与明确排除项</w:t>
      </w:r>
    </w:p>
    <w:p>
      <w:pPr>
        <w:pStyle w:val="Heading2"/>
      </w:pPr>
      <w:r>
        <w:t>2.1 V1 包含</w:t>
      </w:r>
    </w:p>
    <w:p>
      <w:pPr>
        <w:pStyle w:val="ListBullet"/>
        <w:spacing w:after="40" w:line="269" w:lineRule="auto"/>
      </w:pPr>
      <w:r>
        <w:rPr>
          <w:rFonts w:ascii="Noto Sans CJK SC" w:hAnsi="Noto Sans CJK SC" w:eastAsia="Noto Sans CJK SC"/>
          <w:color w:val="222222"/>
          <w:sz w:val="20"/>
        </w:rPr>
        <w:t>本机 Dashboard 与后台管理。</w:t>
      </w:r>
    </w:p>
    <w:p>
      <w:pPr>
        <w:pStyle w:val="ListBullet"/>
        <w:spacing w:after="40" w:line="269" w:lineRule="auto"/>
      </w:pPr>
      <w:r>
        <w:rPr>
          <w:rFonts w:ascii="Noto Sans CJK SC" w:hAnsi="Noto Sans CJK SC" w:eastAsia="Noto Sans CJK SC"/>
          <w:color w:val="222222"/>
          <w:sz w:val="20"/>
        </w:rPr>
        <w:t>币种白名单和 Binance/CoinGlass 映射校验。</w:t>
      </w:r>
    </w:p>
    <w:p>
      <w:pPr>
        <w:pStyle w:val="ListBullet"/>
        <w:spacing w:after="40" w:line="269" w:lineRule="auto"/>
      </w:pPr>
      <w:r>
        <w:rPr>
          <w:rFonts w:ascii="Noto Sans CJK SC" w:hAnsi="Noto Sans CJK SC" w:eastAsia="Noto Sans CJK SC"/>
          <w:color w:val="222222"/>
          <w:sz w:val="20"/>
        </w:rPr>
        <w:t>Binance 永续 OI、Funding、逐笔成交驱动的 CVD 计算。</w:t>
      </w:r>
    </w:p>
    <w:p>
      <w:pPr>
        <w:pStyle w:val="ListBullet"/>
        <w:spacing w:after="40" w:line="269" w:lineRule="auto"/>
      </w:pPr>
      <w:r>
        <w:rPr>
          <w:rFonts w:ascii="Noto Sans CJK SC" w:hAnsi="Noto Sans CJK SC" w:eastAsia="Noto Sans CJK SC"/>
          <w:color w:val="222222"/>
          <w:sz w:val="20"/>
        </w:rPr>
        <w:t>CoinGlass Binance 清算 Heatmap 获取、区域识别、入场和止盈使用。</w:t>
      </w:r>
    </w:p>
    <w:p>
      <w:pPr>
        <w:pStyle w:val="ListBullet"/>
        <w:spacing w:after="40" w:line="269" w:lineRule="auto"/>
      </w:pPr>
      <w:r>
        <w:rPr>
          <w:rFonts w:ascii="Noto Sans CJK SC" w:hAnsi="Noto Sans CJK SC" w:eastAsia="Noto Sans CJK SC"/>
          <w:color w:val="222222"/>
          <w:sz w:val="20"/>
        </w:rPr>
        <w:t>BTC 市场状态过滤、单策略运行、15 分钟收盘信号。</w:t>
      </w:r>
    </w:p>
    <w:p>
      <w:pPr>
        <w:pStyle w:val="ListBullet"/>
        <w:spacing w:after="40" w:line="269" w:lineRule="auto"/>
      </w:pPr>
      <w:r>
        <w:rPr>
          <w:rFonts w:ascii="Noto Sans CJK SC" w:hAnsi="Noto Sans CJK SC" w:eastAsia="Noto Sans CJK SC"/>
          <w:color w:val="222222"/>
          <w:sz w:val="20"/>
        </w:rPr>
        <w:t>Variational 登录会话复用、限价单、TP/SL、状态同步和对账。</w:t>
      </w:r>
    </w:p>
    <w:p>
      <w:pPr>
        <w:pStyle w:val="ListBullet"/>
        <w:spacing w:after="40" w:line="269" w:lineRule="auto"/>
      </w:pPr>
      <w:r>
        <w:rPr>
          <w:rFonts w:ascii="Noto Sans CJK SC" w:hAnsi="Noto Sans CJK SC" w:eastAsia="Noto Sans CJK SC"/>
          <w:color w:val="222222"/>
          <w:sz w:val="20"/>
        </w:rPr>
        <w:t>Telegram 事件通知及服务健康管理。</w:t>
      </w:r>
    </w:p>
    <w:p>
      <w:pPr>
        <w:pStyle w:val="ListBullet"/>
        <w:spacing w:after="40" w:line="269" w:lineRule="auto"/>
      </w:pPr>
      <w:r>
        <w:rPr>
          <w:rFonts w:ascii="Noto Sans CJK SC" w:hAnsi="Noto Sans CJK SC" w:eastAsia="Noto Sans CJK SC"/>
          <w:color w:val="222222"/>
          <w:sz w:val="20"/>
        </w:rPr>
        <w:t>按策略统计信号、订单、成交和盈亏。</w:t>
      </w:r>
    </w:p>
    <w:p>
      <w:pPr>
        <w:pStyle w:val="Heading2"/>
      </w:pPr>
      <w:r>
        <w:t>2.2 V1 明确不包含</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98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排除项</w:t>
            </w:r>
          </w:p>
        </w:tc>
        <w:tc>
          <w:tcPr>
            <w:tcW w:type="dxa" w:w="737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说明</w:t>
            </w:r>
          </w:p>
        </w:tc>
      </w:tr>
      <w:tr>
        <w:trPr>
          <w:cantSplit/>
        </w:trPr>
        <w:tc>
          <w:tcPr>
            <w:tcW w:type="dxa" w:w="198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AI/机器学习</w:t>
            </w:r>
          </w:p>
        </w:tc>
        <w:tc>
          <w:tcPr>
            <w:tcW w:type="dxa" w:w="737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分析与信号引擎不使用 LLM、机器学习或自动优化参数。浏览器自动化仅作为执行技术手段。</w:t>
            </w:r>
          </w:p>
        </w:tc>
      </w:tr>
      <w:tr>
        <w:trPr>
          <w:cantSplit/>
        </w:trPr>
        <w:tc>
          <w:tcPr>
            <w:tcW w:type="dxa" w:w="198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全市场扫描</w:t>
            </w:r>
          </w:p>
        </w:tc>
        <w:tc>
          <w:tcPr>
            <w:tcW w:type="dxa" w:w="737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不自动扫描 Variational 所有市场；只处理手工加入的白名单。</w:t>
            </w:r>
          </w:p>
        </w:tc>
      </w:tr>
      <w:tr>
        <w:trPr>
          <w:cantSplit/>
        </w:trPr>
        <w:tc>
          <w:tcPr>
            <w:tcW w:type="dxa" w:w="198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回测与模拟盘</w:t>
            </w:r>
          </w:p>
        </w:tc>
        <w:tc>
          <w:tcPr>
            <w:tcW w:type="dxa" w:w="737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不开发历史回测、纸面交易或沙盒模式。</w:t>
            </w:r>
          </w:p>
        </w:tc>
      </w:tr>
      <w:tr>
        <w:trPr>
          <w:cantSplit/>
        </w:trPr>
        <w:tc>
          <w:tcPr>
            <w:tcW w:type="dxa" w:w="198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多策略并发</w:t>
            </w:r>
          </w:p>
        </w:tc>
        <w:tc>
          <w:tcPr>
            <w:tcW w:type="dxa" w:w="737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允许保存多套策略，但同一时刻只允许一套处于运行状态。</w:t>
            </w:r>
          </w:p>
        </w:tc>
      </w:tr>
      <w:tr>
        <w:trPr>
          <w:cantSplit/>
        </w:trPr>
        <w:tc>
          <w:tcPr>
            <w:tcW w:type="dxa" w:w="198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原始行情仓库</w:t>
            </w:r>
          </w:p>
        </w:tc>
        <w:tc>
          <w:tcPr>
            <w:tcW w:type="dxa" w:w="737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不保存 1 分钟 K 线或 Binance 逐笔成交；只保存计算结果和业务记录。</w:t>
            </w:r>
          </w:p>
        </w:tc>
      </w:tr>
      <w:tr>
        <w:trPr>
          <w:cantSplit/>
        </w:trPr>
        <w:tc>
          <w:tcPr>
            <w:tcW w:type="dxa" w:w="198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多用户与登录</w:t>
            </w:r>
          </w:p>
        </w:tc>
        <w:tc>
          <w:tcPr>
            <w:tcW w:type="dxa" w:w="737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后台仅限本机使用，不做账号、密码、权限和审计。</w:t>
            </w:r>
          </w:p>
        </w:tc>
      </w:tr>
      <w:tr>
        <w:trPr>
          <w:cantSplit/>
        </w:trPr>
        <w:tc>
          <w:tcPr>
            <w:tcW w:type="dxa" w:w="198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后台手动交易</w:t>
            </w:r>
          </w:p>
        </w:tc>
        <w:tc>
          <w:tcPr>
            <w:tcW w:type="dxa" w:w="737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撤单、平仓、修改 TP/SL 均在 Variational 网页操作。</w:t>
            </w:r>
          </w:p>
        </w:tc>
      </w:tr>
      <w:tr>
        <w:trPr>
          <w:cantSplit/>
        </w:trPr>
        <w:tc>
          <w:tcPr>
            <w:tcW w:type="dxa" w:w="198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备份功能</w:t>
            </w:r>
          </w:p>
        </w:tc>
        <w:tc>
          <w:tcPr>
            <w:tcW w:type="dxa" w:w="737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不提供自动备份、手动备份和后台恢复。</w:t>
            </w:r>
          </w:p>
        </w:tc>
      </w:tr>
      <w:tr>
        <w:trPr>
          <w:cantSplit/>
        </w:trPr>
        <w:tc>
          <w:tcPr>
            <w:tcW w:type="dxa" w:w="198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多 Telegram 接收者</w:t>
            </w:r>
          </w:p>
        </w:tc>
        <w:tc>
          <w:tcPr>
            <w:tcW w:type="dxa" w:w="737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只支持一个固定 Chat ID。</w:t>
            </w:r>
          </w:p>
        </w:tc>
      </w:tr>
    </w:tbl>
    <w:p>
      <w:pPr>
        <w:spacing w:after="0"/>
      </w:pPr>
    </w:p>
    <w:p>
      <w:pPr>
        <w:pStyle w:val="Heading1"/>
      </w:pPr>
      <w:r>
        <w:t>3. 总体架构与部署方式</w:t>
      </w:r>
    </w:p>
    <w:p>
      <w:pPr>
        <w:pStyle w:val="Heading2"/>
      </w:pPr>
      <w:r>
        <w:t>3.1 已确认技术栈</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71"/>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层级</w:t>
            </w:r>
          </w:p>
        </w:tc>
        <w:tc>
          <w:tcPr>
            <w:tcW w:type="dxa" w:w="7483"/>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最终选择</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语言与仓库</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TypeScript；pnpm workspace 单仓库。</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前端</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Next.js App Router；Apache ECharts 用于 Dashboard 图表。</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后端 API</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Fastify REST API，必要时向前端推送状态更新。</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后台服务</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独立 Node.js Worker：市场采集、指标与信号、Variational 执行、Telegram。</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浏览器执行</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Playwright；优先复现内部 JSON 请求，其次浏览器上下文 fetch，最后 UI 自动化。</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数据库</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PostgreSQL；第一版不使用 Redis、Kafka 或 TimescaleDB。</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部署</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Docker Compose；Mac 初期 Variational Agent 原生运行，其余服务容器化。</w:t>
            </w:r>
          </w:p>
        </w:tc>
      </w:tr>
    </w:tbl>
    <w:p>
      <w:pPr>
        <w:spacing w:after="0"/>
      </w:pPr>
    </w:p>
    <w:p>
      <w:pPr>
        <w:pStyle w:val="Heading2"/>
      </w:pPr>
      <w:r>
        <w:t>3.2 服务边界</w:t>
      </w:r>
    </w:p>
    <w:tbl>
      <w:tblPr>
        <w:tblW w:type="auto" w:w="0"/>
        <w:jc w:val="center"/>
        <w:tblLook w:firstColumn="1" w:firstRow="1" w:lastColumn="0" w:lastRow="0" w:noHBand="0" w:noVBand="1" w:val="04A0"/>
      </w:tblPr>
      <w:tblGrid>
        <w:gridCol w:w="9638"/>
      </w:tblGrid>
      <w:tr>
        <w:tc>
          <w:tcPr>
            <w:tcW w:type="dxa" w:w="9638"/>
            <w:shd w:fill="F2F4F7"/>
            <w:tcBorders>
              <w:top w:val="single" w:sz="4" w:color="CBD5E0"/>
              <w:left w:val="single" w:sz="4" w:color="CBD5E0"/>
              <w:bottom w:val="single" w:sz="4" w:color="CBD5E0"/>
              <w:right w:val="single" w:sz="4" w:color="CBD5E0"/>
            </w:tcBorders>
            <w:tcMar>
              <w:top w:w="120" w:type="dxa"/>
              <w:start w:w="140" w:type="dxa"/>
              <w:bottom w:w="120" w:type="dxa"/>
              <w:end w:w="140" w:type="dxa"/>
            </w:tcMar>
          </w:tcPr>
          <w:p>
            <w:pPr>
              <w:spacing w:after="0" w:line="240" w:lineRule="auto"/>
            </w:pPr>
            <w:r>
              <w:rPr>
                <w:rFonts w:ascii="DejaVu Sans Mono" w:hAnsi="DejaVu Sans Mono" w:eastAsia="DejaVu Sans Mono"/>
                <w:color w:val="1F2937"/>
                <w:sz w:val="17"/>
              </w:rPr>
              <w:t>apps/</w:t>
              <w:br/>
              <w:t>├── web                 # Dashboard 与后台管理</w:t>
              <w:br/>
              <w:t>├── api                 # REST API / 状态聚合</w:t>
              <w:br/>
              <w:t>├── market-collector    # Binance 与 CoinGlass 采集</w:t>
              <w:br/>
              <w:t>├── signal-engine       # 指标计算、市场状态、策略判断</w:t>
              <w:br/>
              <w:t>├── variational-agent   # 登录会话、下单、对账、轮询</w:t>
              <w:br/>
              <w:t>└── telegram-worker     # Telegram 发送与健康状态</w:t>
              <w:br/>
              <w:br/>
              <w:t>packages/</w:t>
              <w:br/>
              <w:t>├── database</w:t>
              <w:br/>
              <w:t>├── indicators</w:t>
              <w:br/>
              <w:t>├── strategy-engine</w:t>
              <w:br/>
              <w:t>├── exchange-clients</w:t>
              <w:br/>
              <w:t>├── shared-types</w:t>
              <w:br/>
              <w:t>└── config</w:t>
            </w:r>
          </w:p>
        </w:tc>
      </w:tr>
    </w:tbl>
    <w:p>
      <w:pPr>
        <w:spacing w:after="0"/>
      </w:pPr>
    </w:p>
    <w:p>
      <w:pPr>
        <w:pStyle w:val="Heading2"/>
      </w:pPr>
      <w:r>
        <w:t>3.3 Mac 与 Linux 部署</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701"/>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环境</w:t>
            </w:r>
          </w:p>
        </w:tc>
        <w:tc>
          <w:tcPr>
            <w:tcW w:type="dxa" w:w="765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部署要求</w:t>
            </w:r>
          </w:p>
        </w:tc>
      </w:tr>
      <w:tr>
        <w:trPr>
          <w:cantSplit/>
        </w:trPr>
        <w:tc>
          <w:tcPr>
            <w:tcW w:type="dxa" w:w="170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MacBook 内测</w:t>
            </w:r>
          </w:p>
        </w:tc>
        <w:tc>
          <w:tcPr>
            <w:tcW w:type="dxa" w:w="765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PostgreSQL、Web、API、Collector、Signal Engine、Telegram Worker 使用 Docker Compose；Variational Agent 原生运行并由 launchd 管理。</w:t>
            </w:r>
          </w:p>
        </w:tc>
      </w:tr>
      <w:tr>
        <w:trPr>
          <w:cantSplit/>
        </w:trPr>
        <w:tc>
          <w:tcPr>
            <w:tcW w:type="dxa" w:w="170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Linux 迁移</w:t>
            </w:r>
          </w:p>
        </w:tc>
        <w:tc>
          <w:tcPr>
            <w:tcW w:type="dxa" w:w="765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全部服务通过 Docker Compose 运行；Variational 浏览器 Profile 使用持久化 Volume；需要钱包验证时通过远程桌面人工操作。</w:t>
            </w:r>
          </w:p>
        </w:tc>
      </w:tr>
      <w:tr>
        <w:trPr>
          <w:cantSplit/>
        </w:trPr>
        <w:tc>
          <w:tcPr>
            <w:tcW w:type="dxa" w:w="170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迁移原则</w:t>
            </w:r>
          </w:p>
        </w:tc>
        <w:tc>
          <w:tcPr>
            <w:tcW w:type="dxa" w:w="765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数据库 Schema、业务代码、环境变量名称和服务接口保持不变；仅替换主机路径、浏览器运行方式和服务守护配置。</w:t>
            </w:r>
          </w:p>
        </w:tc>
      </w:tr>
    </w:tbl>
    <w:p>
      <w:pPr>
        <w:spacing w:after="0"/>
      </w:pPr>
    </w:p>
    <w:p>
      <w:pPr>
        <w:pStyle w:val="Heading1"/>
      </w:pPr>
      <w:r>
        <w:t>4. 币种管理与数据源</w:t>
      </w:r>
    </w:p>
    <w:p>
      <w:pPr>
        <w:pStyle w:val="Heading2"/>
      </w:pPr>
      <w:r>
        <w:t>4.1 数据源口径</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数据类型</w:t>
            </w:r>
          </w:p>
        </w:tc>
        <w:tc>
          <w:tcPr>
            <w:tcW w:type="dxa" w:w="754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来源</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价格与 K 线</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Binance USDT 永续合约。</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OI</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Binance USDT 永续合约。</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Funding</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Binance USDT 永续合约。</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CVD</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仅 Binance 永续逐笔成交；不使用现货或多交易所聚合。</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Heatmap</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CoinGlass 提供的 Binance 单交易所清算热力图；不使用聚合 Heatmap。</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执行</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9"/>
              </w:rPr>
              <w:t>Variational 对应市场页面及其内部会话/请求。</w:t>
            </w:r>
          </w:p>
        </w:tc>
      </w:tr>
    </w:tbl>
    <w:p>
      <w:pPr>
        <w:spacing w:after="0"/>
      </w:pPr>
    </w:p>
    <w:p>
      <w:pPr>
        <w:pStyle w:val="Heading2"/>
      </w:pPr>
      <w:r>
        <w:t>4.2 币种新增规则</w:t>
      </w:r>
    </w:p>
    <w:p>
      <w:pPr>
        <w:pStyle w:val="ListBullet"/>
        <w:spacing w:after="40" w:line="269" w:lineRule="auto"/>
      </w:pPr>
      <w:r>
        <w:rPr>
          <w:rFonts w:ascii="Noto Sans CJK SC" w:hAnsi="Noto Sans CJK SC" w:eastAsia="Noto Sans CJK SC"/>
          <w:color w:val="222222"/>
          <w:sz w:val="20"/>
        </w:rPr>
        <w:t>币种由用户手动新增，预期规模 10～50 个。</w:t>
      </w:r>
    </w:p>
    <w:p>
      <w:pPr>
        <w:pStyle w:val="ListBullet"/>
        <w:spacing w:after="40" w:line="269" w:lineRule="auto"/>
      </w:pPr>
      <w:r>
        <w:rPr>
          <w:rFonts w:ascii="Noto Sans CJK SC" w:hAnsi="Noto Sans CJK SC" w:eastAsia="Noto Sans CJK SC"/>
          <w:color w:val="222222"/>
          <w:sz w:val="20"/>
        </w:rPr>
        <w:t>用户填写内部代码和 Variational 市场 URL；Binance 与 CoinGlass 映射由系统自动识别。</w:t>
      </w:r>
    </w:p>
    <w:p>
      <w:pPr>
        <w:pStyle w:val="ListBullet"/>
        <w:spacing w:after="40" w:line="269" w:lineRule="auto"/>
      </w:pPr>
      <w:r>
        <w:rPr>
          <w:rFonts w:ascii="Noto Sans CJK SC" w:hAnsi="Noto Sans CJK SC" w:eastAsia="Noto Sans CJK SC"/>
          <w:color w:val="222222"/>
          <w:sz w:val="20"/>
        </w:rPr>
        <w:t>保存前必须自动确认存在 Binance USDT 永续合约，并能取得 CoinGlass Binance Heatmap。任一校验失败，直接禁止保存。</w:t>
      </w:r>
    </w:p>
    <w:p>
      <w:pPr>
        <w:pStyle w:val="ListBullet"/>
        <w:spacing w:after="40" w:line="269" w:lineRule="auto"/>
      </w:pPr>
      <w:r>
        <w:rPr>
          <w:rFonts w:ascii="Noto Sans CJK SC" w:hAnsi="Noto Sans CJK SC" w:eastAsia="Noto Sans CJK SC"/>
          <w:color w:val="222222"/>
          <w:sz w:val="20"/>
        </w:rPr>
        <w:t>Variational URL 不做自动访问、币种匹配或页面有效性校验，由用户自行保证正确。</w:t>
      </w:r>
    </w:p>
    <w:p>
      <w:pPr>
        <w:pStyle w:val="ListBullet"/>
        <w:spacing w:after="40" w:line="269" w:lineRule="auto"/>
      </w:pPr>
      <w:r>
        <w:rPr>
          <w:rFonts w:ascii="Noto Sans CJK SC" w:hAnsi="Noto Sans CJK SC" w:eastAsia="Noto Sans CJK SC"/>
          <w:color w:val="222222"/>
          <w:sz w:val="20"/>
        </w:rPr>
        <w:t>币种记录包含：内部代码、Binance Symbol、CoinGlass Symbol、Variational URL、是否启用采集/信号/交易、连接状态、最后更新时间、暂停原因。</w:t>
      </w:r>
    </w:p>
    <w:p>
      <w:pPr>
        <w:pStyle w:val="Heading2"/>
      </w:pPr>
      <w:r>
        <w:t>4.3 数据新鲜度与单币隔离</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71"/>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项目</w:t>
            </w:r>
          </w:p>
        </w:tc>
        <w:tc>
          <w:tcPr>
            <w:tcW w:type="dxa" w:w="7483"/>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规则</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Binance</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超过 5 分钟未更新即视为过期。</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CoinGlass Heatmap</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超过 30 分钟未更新即视为过期。每根 15 分钟 K 线收盘扫描前请求一次新 Heatmap。</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影响范围</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任一币种所需数据过期或请求失败，只暂停该币种的扫描和新下单；其他币继续运行。</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恢复方式</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所有单币暂停均需后台手动恢复，不自动清除。恢复前页面应显示最近一次成功数据和异常原因。</w:t>
            </w:r>
          </w:p>
        </w:tc>
      </w:tr>
    </w:tbl>
    <w:p>
      <w:pPr>
        <w:spacing w:after="0"/>
      </w:pPr>
    </w:p>
    <w:p>
      <w:pPr>
        <w:pStyle w:val="Heading1"/>
      </w:pPr>
      <w:r>
        <w:t>5. 市场状态与指标计算</w:t>
      </w:r>
    </w:p>
    <w:p>
      <w:pPr>
        <w:pStyle w:val="Heading2"/>
      </w:pPr>
      <w:r>
        <w:t>5.1 统一扫描时钟</w:t>
      </w:r>
    </w:p>
    <w:p>
      <w:pPr>
        <w:pStyle w:val="ListBullet"/>
        <w:spacing w:after="40" w:line="269" w:lineRule="auto"/>
      </w:pPr>
      <w:r>
        <w:rPr>
          <w:rFonts w:ascii="Noto Sans CJK SC" w:hAnsi="Noto Sans CJK SC" w:eastAsia="Noto Sans CJK SC"/>
          <w:color w:val="222222"/>
          <w:sz w:val="20"/>
        </w:rPr>
        <w:t>系统只在每根 15 分钟 K 线收盘后评估策略，盘中不触发。</w:t>
      </w:r>
    </w:p>
    <w:p>
      <w:pPr>
        <w:pStyle w:val="ListBullet"/>
        <w:spacing w:after="40" w:line="269" w:lineRule="auto"/>
      </w:pPr>
      <w:r>
        <w:rPr>
          <w:rFonts w:ascii="Noto Sans CJK SC" w:hAnsi="Noto Sans CJK SC" w:eastAsia="Noto Sans CJK SC"/>
          <w:color w:val="222222"/>
          <w:sz w:val="20"/>
        </w:rPr>
        <w:t>同一轮扫描使用同一收盘时间点，确保所有币种和条件可审计。</w:t>
      </w:r>
    </w:p>
    <w:p>
      <w:pPr>
        <w:pStyle w:val="ListBullet"/>
        <w:spacing w:after="40" w:line="269" w:lineRule="auto"/>
      </w:pPr>
      <w:r>
        <w:rPr>
          <w:rFonts w:ascii="Noto Sans CJK SC" w:hAnsi="Noto Sans CJK SC" w:eastAsia="Noto Sans CJK SC"/>
          <w:color w:val="222222"/>
          <w:sz w:val="20"/>
        </w:rPr>
        <w:t>系统启动或重启后，先从 Binance 拉取足够历史数据并完成指标预热；所有必需指标就绪后才启动扫描。</w:t>
      </w:r>
    </w:p>
    <w:p>
      <w:pPr>
        <w:pStyle w:val="ListBullet"/>
        <w:spacing w:after="40" w:line="269" w:lineRule="auto"/>
      </w:pPr>
      <w:r>
        <w:rPr>
          <w:rFonts w:ascii="Noto Sans CJK SC" w:hAnsi="Noto Sans CJK SC" w:eastAsia="Noto Sans CJK SC"/>
          <w:color w:val="222222"/>
          <w:sz w:val="20"/>
        </w:rPr>
        <w:t>停机期间错过的 15 分钟信号不补算；启动后从下一根完整收盘 K 线开始。</w:t>
      </w:r>
    </w:p>
    <w:p>
      <w:pPr>
        <w:pStyle w:val="Heading2"/>
      </w:pPr>
      <w:r>
        <w:t>5.2 BTC 大趋势与交易许可</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项目</w:t>
            </w:r>
          </w:p>
        </w:tc>
        <w:tc>
          <w:tcPr>
            <w:tcW w:type="dxa" w:w="754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最终规则</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主周期</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日线：EMA50、EMA200、均线斜率和已确认高低点结构共同判断方向。</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确认周期</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4 小时：EMA20 与 EMA50 对日线方向进行确认。</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ADX</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ADX(14) 只负责区分趋势/震荡，不负责决定多空。ADX ≥25 为趋势，ADX ≤18 为震荡，18～25 为过渡并沿用上一状态。</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BULL</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只允许做多。</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BEAR</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只允许做空。</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RANGE</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多空均允许。</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TRANSITION</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按 RANGE 处理，多空均允许。</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EAF3FB"/>
            <w:tcBorders>
              <w:top w:val="single" w:sz="8" w:color="2B6CB0"/>
              <w:left w:val="single" w:sz="8" w:color="2B6CB0"/>
              <w:bottom w:val="single" w:sz="8" w:color="2B6CB0"/>
              <w:right w:val="single" w:sz="8" w:color="2B6CB0"/>
            </w:tcBorders>
            <w:tcMar>
              <w:top w:w="130" w:type="dxa"/>
              <w:start w:w="160" w:type="dxa"/>
              <w:bottom w:w="130" w:type="dxa"/>
              <w:end w:w="160" w:type="dxa"/>
            </w:tcMar>
          </w:tcPr>
          <w:p>
            <w:pPr>
              <w:spacing w:after="0" w:line="269" w:lineRule="auto"/>
            </w:pPr>
            <w:r>
              <w:rPr>
                <w:rFonts w:ascii="Noto Sans CJK SC" w:hAnsi="Noto Sans CJK SC" w:eastAsia="Noto Sans CJK SC"/>
                <w:b/>
                <w:color w:val="17324D"/>
                <w:sz w:val="21"/>
              </w:rPr>
              <w:t>方向判定原则</w:t>
            </w:r>
            <w:r>
              <w:rPr>
                <w:rFonts w:ascii="Noto Sans CJK SC" w:hAnsi="Noto Sans CJK SC" w:eastAsia="Noto Sans CJK SC"/>
                <w:color w:val="26323E"/>
                <w:sz w:val="20"/>
              </w:rPr>
              <w:br/>
              <w:t>BTC 状态是独立且强制的方向过滤器。策略条件即使全部满足，若方向不被 BTC 状态允许，也不得生成可执行订单。</w:t>
            </w:r>
          </w:p>
        </w:tc>
      </w:tr>
    </w:tbl>
    <w:p>
      <w:pPr>
        <w:spacing w:after="0"/>
      </w:pPr>
    </w:p>
    <w:p>
      <w:pPr>
        <w:pStyle w:val="Heading2"/>
      </w:pPr>
      <w:r>
        <w:t>5.3 固定指标参数</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531"/>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条件</w:t>
            </w:r>
          </w:p>
        </w:tc>
        <w:tc>
          <w:tcPr>
            <w:tcW w:type="dxa" w:w="782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固定计算口径</w:t>
            </w:r>
          </w:p>
        </w:tc>
      </w:tr>
      <w:tr>
        <w:trPr>
          <w:cantSplit/>
        </w:trPr>
        <w:tc>
          <w:tcPr>
            <w:tcW w:type="dxa" w:w="153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OI</w:t>
            </w:r>
          </w:p>
        </w:tc>
        <w:tc>
          <w:tcPr>
            <w:tcW w:type="dxa" w:w="782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观察 Binance 永续 1 小时 OI 变化；使用 30 天滚动 Robust Z-score，|Z|≥1.0 为异常；最近 3 个 15 分钟子周期至少 2 个同方向。OI 为非方向条件，做多与做空使用同一异常判断。</w:t>
            </w:r>
          </w:p>
        </w:tc>
      </w:tr>
      <w:tr>
        <w:trPr>
          <w:cantSplit/>
        </w:trPr>
        <w:tc>
          <w:tcPr>
            <w:tcW w:type="dxa" w:w="153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CVD</w:t>
            </w:r>
          </w:p>
        </w:tc>
        <w:tc>
          <w:tcPr>
            <w:tcW w:type="dxa" w:w="782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由 Binance 永续 taker buy/sell 逐笔成交实时计算 15 分钟 CVD；30 天滚动 Robust Z-score，|Z|≥1.0；最近 3 个 5 分钟子周期至少 2 个同方向。CVD 是方向条件，做空自动镜像。</w:t>
            </w:r>
          </w:p>
        </w:tc>
      </w:tr>
      <w:tr>
        <w:trPr>
          <w:cantSplit/>
        </w:trPr>
        <w:tc>
          <w:tcPr>
            <w:tcW w:type="dxa" w:w="153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Funding</w:t>
            </w:r>
          </w:p>
        </w:tc>
        <w:tc>
          <w:tcPr>
            <w:tcW w:type="dxa" w:w="782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观察当前 Funding 相对 30 天滚动基线的异常程度，并结合 4 小时绝对幅度变化；|Robust Z|≥1.0。只判断“是否异常”，忽略正负号，不参与多空方向。</w:t>
            </w:r>
          </w:p>
        </w:tc>
      </w:tr>
      <w:tr>
        <w:trPr>
          <w:cantSplit/>
        </w:trPr>
        <w:tc>
          <w:tcPr>
            <w:tcW w:type="dxa" w:w="153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Heatmap</w:t>
            </w:r>
          </w:p>
        </w:tc>
        <w:tc>
          <w:tcPr>
            <w:tcW w:type="dxa" w:w="782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每套策略最多一个 Heatmap 条件；时间范围由策略选择，默认 24 小时；参数见第 7 章。</w:t>
            </w:r>
          </w:p>
        </w:tc>
      </w:tr>
    </w:tbl>
    <w:p>
      <w:pPr>
        <w:spacing w:after="0"/>
      </w:pPr>
    </w:p>
    <w:p>
      <w:pPr>
        <w:spacing w:after="80" w:before="0" w:line="276" w:lineRule="auto"/>
      </w:pPr>
      <w:r>
        <w:rPr>
          <w:rFonts w:ascii="Noto Sans CJK SC" w:hAnsi="Noto Sans CJK SC" w:eastAsia="Noto Sans CJK SC"/>
          <w:b/>
          <w:color w:val="17324D"/>
          <w:sz w:val="21"/>
        </w:rPr>
        <w:t>OI、CVD、Funding 的观察窗口、Z-score 阈值和持续确认规则不在后台开放修改；后台只能选择是否启用。</w:t>
      </w:r>
    </w:p>
    <w:p>
      <w:pPr>
        <w:pStyle w:val="Heading1"/>
      </w:pPr>
      <w:r>
        <w:t>6. 策略管理与信号生成</w:t>
      </w:r>
    </w:p>
    <w:p>
      <w:pPr>
        <w:pStyle w:val="Heading2"/>
      </w:pPr>
      <w:r>
        <w:t>6.1 策略模型</w:t>
      </w:r>
    </w:p>
    <w:p>
      <w:pPr>
        <w:pStyle w:val="ListBullet"/>
        <w:spacing w:after="40" w:line="269" w:lineRule="auto"/>
      </w:pPr>
      <w:r>
        <w:rPr>
          <w:rFonts w:ascii="Noto Sans CJK SC" w:hAnsi="Noto Sans CJK SC" w:eastAsia="Noto Sans CJK SC"/>
          <w:color w:val="222222"/>
          <w:sz w:val="20"/>
        </w:rPr>
        <w:t>条件库仅包含 OI、CVD、Funding、Heatmap 四类。</w:t>
      </w:r>
    </w:p>
    <w:p>
      <w:pPr>
        <w:pStyle w:val="ListBullet"/>
        <w:spacing w:after="40" w:line="269" w:lineRule="auto"/>
      </w:pPr>
      <w:r>
        <w:rPr>
          <w:rFonts w:ascii="Noto Sans CJK SC" w:hAnsi="Noto Sans CJK SC" w:eastAsia="Noto Sans CJK SC"/>
          <w:color w:val="222222"/>
          <w:sz w:val="20"/>
        </w:rPr>
        <w:t>每套策略最少配置 2 个条件；每种条件最多出现一次，因此最多 4 个条件。</w:t>
      </w:r>
    </w:p>
    <w:p>
      <w:pPr>
        <w:pStyle w:val="ListBullet"/>
        <w:spacing w:after="40" w:line="269" w:lineRule="auto"/>
      </w:pPr>
      <w:r>
        <w:rPr>
          <w:rFonts w:ascii="Noto Sans CJK SC" w:hAnsi="Noto Sans CJK SC" w:eastAsia="Noto Sans CJK SC"/>
          <w:color w:val="222222"/>
          <w:sz w:val="20"/>
        </w:rPr>
        <w:t>逻辑支持：全部满足（AND）；或 M 个条件中至少满足 N 个。第一版不支持嵌套逻辑组。</w:t>
      </w:r>
    </w:p>
    <w:p>
      <w:pPr>
        <w:pStyle w:val="ListBullet"/>
        <w:spacing w:after="40" w:line="269" w:lineRule="auto"/>
      </w:pPr>
      <w:r>
        <w:rPr>
          <w:rFonts w:ascii="Noto Sans CJK SC" w:hAnsi="Noto Sans CJK SC" w:eastAsia="Noto Sans CJK SC"/>
          <w:color w:val="222222"/>
          <w:sz w:val="20"/>
        </w:rPr>
        <w:t>允许创建、编辑、删除、启用和停用多套策略，但同一时刻只运行一套。</w:t>
      </w:r>
    </w:p>
    <w:p>
      <w:pPr>
        <w:pStyle w:val="ListBullet"/>
        <w:spacing w:after="40" w:line="269" w:lineRule="auto"/>
      </w:pPr>
      <w:r>
        <w:rPr>
          <w:rFonts w:ascii="Noto Sans CJK SC" w:hAnsi="Noto Sans CJK SC" w:eastAsia="Noto Sans CJK SC"/>
          <w:color w:val="222222"/>
          <w:sz w:val="20"/>
        </w:rPr>
        <w:t>策略只配置做多条件；做空由系统镜像方向条件。OI 和 Funding 保持非方向，CVD 镜像，Heatmap 依据最终交易方向选择适用区域。</w:t>
      </w:r>
    </w:p>
    <w:p>
      <w:pPr>
        <w:pStyle w:val="Heading2"/>
      </w:pPr>
      <w:r>
        <w:t>6.2 默认核心策略</w:t>
      </w:r>
    </w:p>
    <w:tbl>
      <w:tblPr>
        <w:tblW w:type="auto" w:w="0"/>
        <w:jc w:val="center"/>
        <w:tblLayout w:type="autofit"/>
        <w:tblLook w:firstColumn="1" w:firstRow="1" w:lastColumn="0" w:lastRow="0" w:noHBand="0" w:noVBand="1" w:val="04A0"/>
      </w:tblPr>
      <w:tblGrid>
        <w:gridCol w:w="9638"/>
      </w:tblGrid>
      <w:tr>
        <w:tc>
          <w:tcPr>
            <w:tcW w:type="dxa" w:w="9638"/>
            <w:shd w:fill="EAF7EE"/>
            <w:tcBorders>
              <w:top w:val="single" w:sz="8" w:color="2F855A"/>
              <w:left w:val="single" w:sz="8" w:color="2F855A"/>
              <w:bottom w:val="single" w:sz="8" w:color="2F855A"/>
              <w:right w:val="single" w:sz="8" w:color="2F855A"/>
            </w:tcBorders>
            <w:tcMar>
              <w:top w:w="130" w:type="dxa"/>
              <w:start w:w="160" w:type="dxa"/>
              <w:bottom w:w="130" w:type="dxa"/>
              <w:end w:w="160" w:type="dxa"/>
            </w:tcMar>
          </w:tcPr>
          <w:p>
            <w:pPr>
              <w:spacing w:after="0" w:line="269" w:lineRule="auto"/>
            </w:pPr>
            <w:r>
              <w:rPr>
                <w:rFonts w:ascii="Noto Sans CJK SC" w:hAnsi="Noto Sans CJK SC" w:eastAsia="Noto Sans CJK SC"/>
                <w:b/>
                <w:color w:val="17324D"/>
                <w:sz w:val="21"/>
              </w:rPr>
              <w:t>默认启用策略</w:t>
            </w:r>
            <w:r>
              <w:rPr>
                <w:rFonts w:ascii="Noto Sans CJK SC" w:hAnsi="Noto Sans CJK SC" w:eastAsia="Noto Sans CJK SC"/>
                <w:color w:val="26323E"/>
                <w:sz w:val="20"/>
              </w:rPr>
              <w:br/>
              <w:t>BTC 状态方向过滤通过，并且 OI、CVD、Funding、Heatmap 四个条件全部满足。该策略使用 AND 逻辑。</w:t>
            </w:r>
          </w:p>
        </w:tc>
      </w:tr>
    </w:tbl>
    <w:p>
      <w:pPr>
        <w:spacing w:after="0"/>
      </w:pPr>
    </w:p>
    <w:p>
      <w:pPr>
        <w:pStyle w:val="Heading2"/>
      </w:pPr>
      <w:r>
        <w:t>6.3 重复信号与并发</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项目</w:t>
            </w:r>
          </w:p>
        </w:tc>
        <w:tc>
          <w:tcPr>
            <w:tcW w:type="dxa" w:w="754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规则</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重复频率</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同一币种、同一方向，只要条件持续满足，每根已收盘 15 分钟 K 线最多生成一笔新订单。</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默认上限</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同一币种、同一方向最多 5 笔，可配置。</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计数范围</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未成交限价单 + 已成交未平仓持仓 + UNKNOWN/待对账订单共同占用上限。</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达到上限</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继续保存本轮条件结果，但不创建新订单。</w:t>
            </w:r>
          </w:p>
        </w:tc>
      </w:tr>
    </w:tbl>
    <w:p>
      <w:pPr>
        <w:spacing w:after="0"/>
      </w:pPr>
    </w:p>
    <w:p>
      <w:pPr>
        <w:pStyle w:val="Heading2"/>
      </w:pPr>
      <w:r>
        <w:t>6.4 策略切换</w:t>
      </w:r>
    </w:p>
    <w:p>
      <w:pPr>
        <w:pStyle w:val="ListBullet"/>
        <w:spacing w:after="40" w:line="269" w:lineRule="auto"/>
      </w:pPr>
      <w:r>
        <w:rPr>
          <w:rFonts w:ascii="Noto Sans CJK SC" w:hAnsi="Noto Sans CJK SC" w:eastAsia="Noto Sans CJK SC"/>
          <w:color w:val="222222"/>
          <w:sz w:val="20"/>
        </w:rPr>
        <w:t>新策略启用后立即停止旧策略扫描。</w:t>
      </w:r>
    </w:p>
    <w:p>
      <w:pPr>
        <w:pStyle w:val="ListBullet"/>
        <w:spacing w:after="40" w:line="269" w:lineRule="auto"/>
      </w:pPr>
      <w:r>
        <w:rPr>
          <w:rFonts w:ascii="Noto Sans CJK SC" w:hAnsi="Noto Sans CJK SC" w:eastAsia="Noto Sans CJK SC"/>
          <w:color w:val="222222"/>
          <w:sz w:val="20"/>
        </w:rPr>
        <w:t>自动撤销旧策略产生的全部未成交限价单。</w:t>
      </w:r>
    </w:p>
    <w:p>
      <w:pPr>
        <w:pStyle w:val="ListBullet"/>
        <w:spacing w:after="40" w:line="269" w:lineRule="auto"/>
      </w:pPr>
      <w:r>
        <w:rPr>
          <w:rFonts w:ascii="Noto Sans CJK SC" w:hAnsi="Noto Sans CJK SC" w:eastAsia="Noto Sans CJK SC"/>
          <w:color w:val="222222"/>
          <w:sz w:val="20"/>
        </w:rPr>
        <w:t>已成交持仓继续保留原 TP/SL，直到正常关闭或用户在 Variational 手动处理。</w:t>
      </w:r>
    </w:p>
    <w:p>
      <w:pPr>
        <w:pStyle w:val="ListBullet"/>
        <w:spacing w:after="40" w:line="269" w:lineRule="auto"/>
      </w:pPr>
      <w:r>
        <w:rPr>
          <w:rFonts w:ascii="Noto Sans CJK SC" w:hAnsi="Noto Sans CJK SC" w:eastAsia="Noto Sans CJK SC"/>
          <w:color w:val="222222"/>
          <w:sz w:val="20"/>
        </w:rPr>
        <w:t>撤单失败只在后台显示，交由用户手动处理；不会阻塞策略切换完成。</w:t>
      </w:r>
    </w:p>
    <w:p>
      <w:pPr>
        <w:pStyle w:val="Heading1"/>
      </w:pPr>
      <w:r>
        <w:t>7. Heatmap 入场与止盈规则</w:t>
      </w:r>
    </w:p>
    <w:p>
      <w:pPr>
        <w:pStyle w:val="Heading2"/>
      </w:pPr>
      <w:r>
        <w:t>7.1 Heatmap 条件角色</w:t>
      </w:r>
    </w:p>
    <w:p>
      <w:pPr>
        <w:pStyle w:val="ListBullet"/>
        <w:spacing w:after="40" w:line="269" w:lineRule="auto"/>
      </w:pPr>
      <w:r>
        <w:rPr>
          <w:rFonts w:ascii="Noto Sans CJK SC" w:hAnsi="Noto Sans CJK SC" w:eastAsia="Noto Sans CJK SC"/>
          <w:color w:val="222222"/>
          <w:sz w:val="20"/>
        </w:rPr>
        <w:t>Heatmap 可同时用于入场条件和止盈目标；默认两者都启用。</w:t>
      </w:r>
    </w:p>
    <w:p>
      <w:pPr>
        <w:pStyle w:val="ListBullet"/>
        <w:spacing w:after="40" w:line="269" w:lineRule="auto"/>
      </w:pPr>
      <w:r>
        <w:rPr>
          <w:rFonts w:ascii="Noto Sans CJK SC" w:hAnsi="Noto Sans CJK SC" w:eastAsia="Noto Sans CJK SC"/>
          <w:color w:val="222222"/>
          <w:sz w:val="20"/>
        </w:rPr>
        <w:t>一套策略只允许一个 Heatmap 条件和一个观察周期，默认 24 小时。</w:t>
      </w:r>
    </w:p>
    <w:p>
      <w:pPr>
        <w:pStyle w:val="ListBullet"/>
        <w:spacing w:after="40" w:line="269" w:lineRule="auto"/>
      </w:pPr>
      <w:r>
        <w:rPr>
          <w:rFonts w:ascii="Noto Sans CJK SC" w:hAnsi="Noto Sans CJK SC" w:eastAsia="Noto Sans CJK SC"/>
          <w:color w:val="222222"/>
          <w:sz w:val="20"/>
        </w:rPr>
        <w:t>Heatmap 只使用 CoinGlass 的 Binance 单交易所数据。</w:t>
      </w:r>
    </w:p>
    <w:p>
      <w:pPr>
        <w:pStyle w:val="ListBullet"/>
        <w:spacing w:after="40" w:line="269" w:lineRule="auto"/>
      </w:pPr>
      <w:r>
        <w:rPr>
          <w:rFonts w:ascii="Noto Sans CJK SC" w:hAnsi="Noto Sans CJK SC" w:eastAsia="Noto Sans CJK SC"/>
          <w:color w:val="222222"/>
          <w:sz w:val="20"/>
        </w:rPr>
        <w:t>候选有效区域需满足：强度排名 Top 5，或强度不低于本次快照第 80 百分位。</w:t>
      </w:r>
    </w:p>
    <w:p>
      <w:pPr>
        <w:pStyle w:val="Heading2"/>
      </w:pPr>
      <w:r>
        <w:t>7.2 入场区域</w:t>
      </w:r>
    </w:p>
    <w:p>
      <w:pPr>
        <w:spacing w:after="80" w:before="0" w:line="276" w:lineRule="auto"/>
      </w:pPr>
      <w:r>
        <w:rPr>
          <w:rFonts w:ascii="Noto Sans CJK SC" w:hAnsi="Noto Sans CJK SC" w:eastAsia="Noto Sans CJK SC"/>
          <w:b w:val="0"/>
          <w:color w:val="222222"/>
          <w:sz w:val="21"/>
        </w:rPr>
        <w:t>系统不硬编码“做多一定使用当前价下方区域”或“做空一定使用当前价上方区域”。先由 BTC 状态、CVD 与 OI 等条件形成交易方向，再在该方向的完整市场语境中选择最强有效清算区域作为入场验证区。</w:t>
      </w:r>
    </w:p>
    <w:p>
      <w:pPr>
        <w:pStyle w:val="ListBullet"/>
        <w:spacing w:after="40" w:line="269" w:lineRule="auto"/>
      </w:pPr>
      <w:r>
        <w:rPr>
          <w:rFonts w:ascii="Noto Sans CJK SC" w:hAnsi="Noto Sans CJK SC" w:eastAsia="Noto Sans CJK SC"/>
          <w:color w:val="222222"/>
          <w:sz w:val="20"/>
        </w:rPr>
        <w:t>候选区域中选择强度最大的有效区域，不使用“强度 60% + 距离 40%”加权评分。</w:t>
      </w:r>
    </w:p>
    <w:p>
      <w:pPr>
        <w:pStyle w:val="ListBullet"/>
        <w:spacing w:after="40" w:line="269" w:lineRule="auto"/>
      </w:pPr>
      <w:r>
        <w:rPr>
          <w:rFonts w:ascii="Noto Sans CJK SC" w:hAnsi="Noto Sans CJK SC" w:eastAsia="Noto Sans CJK SC"/>
          <w:color w:val="222222"/>
          <w:sz w:val="20"/>
        </w:rPr>
        <w:t>价格进入所选区域后不立即触发；必须等待下一根 15 分钟 K 线收盘确认。</w:t>
      </w:r>
    </w:p>
    <w:p>
      <w:pPr>
        <w:pStyle w:val="ListBullet"/>
        <w:spacing w:after="40" w:line="269" w:lineRule="auto"/>
      </w:pPr>
      <w:r>
        <w:rPr>
          <w:rFonts w:ascii="Noto Sans CJK SC" w:hAnsi="Noto Sans CJK SC" w:eastAsia="Noto Sans CJK SC"/>
          <w:color w:val="222222"/>
          <w:sz w:val="20"/>
        </w:rPr>
        <w:t>确认时重新检查 BTC 方向许可、所有策略条件、订单上限、数据新鲜度和风险限制；任一失效则不下单。</w:t>
      </w:r>
    </w:p>
    <w:p>
      <w:pPr>
        <w:pStyle w:val="Heading2"/>
      </w:pPr>
      <w:r>
        <w:t>7.3 止盈区域</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步骤</w:t>
            </w:r>
          </w:p>
        </w:tc>
        <w:tc>
          <w:tcPr>
            <w:tcW w:type="dxa" w:w="754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规则</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第一候选</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选择交易方向上强度最大的有效清算区域。</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TP 偏移</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在目标区域前 0.15 × 1h ATR(14) 设置止盈，降低刚好触及区域却未成交的风险。</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盈亏比不足</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若第一候选无法提供至少 1.5 的预期盈亏比，继续搜索更远的强区域。</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无合格区域</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使用固定 1.5R 止盈。</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反向阻挡</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若入场价到固定 1.5R 目标之间存在显著反向 Heatmap 清算区，拒绝该笔交易。该检查第一版只使用 Heatmap，不加入传统支撑阻力或成交量分布。</w:t>
            </w:r>
          </w:p>
        </w:tc>
      </w:tr>
    </w:tbl>
    <w:p>
      <w:pPr>
        <w:spacing w:after="0"/>
      </w:pPr>
    </w:p>
    <w:p>
      <w:pPr>
        <w:pStyle w:val="Heading1"/>
      </w:pPr>
      <w:r>
        <w:t>8. 下单、止损、仓位与风险控制</w:t>
      </w:r>
    </w:p>
    <w:p>
      <w:pPr>
        <w:pStyle w:val="Heading2"/>
      </w:pPr>
      <w:r>
        <w:t>8.1 入场订单</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项目</w:t>
            </w:r>
          </w:p>
        </w:tc>
        <w:tc>
          <w:tcPr>
            <w:tcW w:type="dxa" w:w="754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规则</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订单类型</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单笔限价单。</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入场价格</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信号确认时 Binance 永续的最新成交价。</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追价/改价</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不追价、不重新报价、不按时间撤单。</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有效期</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未成交订单可无限期保留，直到成交、用户手动撤销、策略切换或全局手动暂停。</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成交假设</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按 Variational 行为将订单视为“全部成功或全部失败”；第一版不设计部分成交流程。</w:t>
            </w:r>
          </w:p>
        </w:tc>
      </w:tr>
    </w:tbl>
    <w:p>
      <w:pPr>
        <w:spacing w:after="0"/>
      </w:pPr>
    </w:p>
    <w:p>
      <w:pPr>
        <w:pStyle w:val="Heading2"/>
      </w:pPr>
      <w:r>
        <w:t>8.2 仓位大小</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项目</w:t>
            </w:r>
          </w:p>
        </w:tc>
        <w:tc>
          <w:tcPr>
            <w:tcW w:type="dxa" w:w="754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规则</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默认保证金</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每笔 10 USDC。</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杠杆</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固定 5×，目标名义价值约 50 USDC。</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平台最低订单</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若 Variational 最低下单额要求更高，自动提高保证金。</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提高上限</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最多提高到 20 USDC 保证金；仍无法满足平台最低订单则放弃该信号。</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数量与精度</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按平台允许的数量和价格精度生成请求，并以平台最终可接受值为准。</w:t>
            </w:r>
          </w:p>
        </w:tc>
      </w:tr>
    </w:tbl>
    <w:p>
      <w:pPr>
        <w:spacing w:after="0"/>
      </w:pPr>
    </w:p>
    <w:p>
      <w:pPr>
        <w:pStyle w:val="Heading2"/>
      </w:pPr>
      <w:r>
        <w:t>8.3 止损与盈亏比</w:t>
      </w:r>
    </w:p>
    <w:p>
      <w:pPr>
        <w:pStyle w:val="ListBullet"/>
        <w:spacing w:after="40" w:line="269" w:lineRule="auto"/>
      </w:pPr>
      <w:r>
        <w:rPr>
          <w:rFonts w:ascii="Noto Sans CJK SC" w:hAnsi="Noto Sans CJK SC" w:eastAsia="Noto Sans CJK SC"/>
          <w:color w:val="222222"/>
          <w:sz w:val="20"/>
        </w:rPr>
        <w:t>止损基于最近的 1 小时市场结构失效位。</w:t>
      </w:r>
    </w:p>
    <w:p>
      <w:pPr>
        <w:pStyle w:val="ListBullet"/>
        <w:spacing w:after="40" w:line="269" w:lineRule="auto"/>
      </w:pPr>
      <w:r>
        <w:rPr>
          <w:rFonts w:ascii="Noto Sans CJK SC" w:hAnsi="Noto Sans CJK SC" w:eastAsia="Noto Sans CJK SC"/>
          <w:color w:val="222222"/>
          <w:sz w:val="20"/>
        </w:rPr>
        <w:t>1 小时结构使用 ATR 型 ZigZag：价格反转达到 1 × 1h ATR 后确认 Swing。</w:t>
      </w:r>
    </w:p>
    <w:p>
      <w:pPr>
        <w:pStyle w:val="ListBullet"/>
        <w:spacing w:after="40" w:line="269" w:lineRule="auto"/>
      </w:pPr>
      <w:r>
        <w:rPr>
          <w:rFonts w:ascii="Noto Sans CJK SC" w:hAnsi="Noto Sans CJK SC" w:eastAsia="Noto Sans CJK SC"/>
          <w:color w:val="222222"/>
          <w:sz w:val="20"/>
        </w:rPr>
        <w:t>止损放在结构失效位之外，附加 0.5 × 1h ATR(14) 缓冲。</w:t>
      </w:r>
    </w:p>
    <w:p>
      <w:pPr>
        <w:pStyle w:val="ListBullet"/>
        <w:spacing w:after="40" w:line="269" w:lineRule="auto"/>
      </w:pPr>
      <w:r>
        <w:rPr>
          <w:rFonts w:ascii="Noto Sans CJK SC" w:hAnsi="Noto Sans CJK SC" w:eastAsia="Noto Sans CJK SC"/>
          <w:color w:val="222222"/>
          <w:sz w:val="20"/>
        </w:rPr>
        <w:t>任何新订单的预期盈亏比不得低于 1.5。</w:t>
      </w:r>
    </w:p>
    <w:p>
      <w:pPr>
        <w:pStyle w:val="Heading2"/>
      </w:pPr>
      <w:r>
        <w:t>8.4 账户级风险</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98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控制项</w:t>
            </w:r>
          </w:p>
        </w:tc>
        <w:tc>
          <w:tcPr>
            <w:tcW w:type="dxa" w:w="737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规则</w:t>
            </w:r>
          </w:p>
        </w:tc>
      </w:tr>
      <w:tr>
        <w:trPr>
          <w:cantSplit/>
        </w:trPr>
        <w:tc>
          <w:tcPr>
            <w:tcW w:type="dxa" w:w="198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保证金占用暂停</w:t>
            </w:r>
          </w:p>
        </w:tc>
        <w:tc>
          <w:tcPr>
            <w:tcW w:type="dxa" w:w="737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以 Variational 报告值为准；达到 80% 时暂停全部策略扫描和新订单。</w:t>
            </w:r>
          </w:p>
        </w:tc>
      </w:tr>
      <w:tr>
        <w:trPr>
          <w:cantSplit/>
        </w:trPr>
        <w:tc>
          <w:tcPr>
            <w:tcW w:type="dxa" w:w="198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自动恢复阈值</w:t>
            </w:r>
          </w:p>
        </w:tc>
        <w:tc>
          <w:tcPr>
            <w:tcW w:type="dxa" w:w="737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占用降到 75% 以下时自动恢复扫描。</w:t>
            </w:r>
          </w:p>
        </w:tc>
      </w:tr>
      <w:tr>
        <w:trPr>
          <w:cantSplit/>
        </w:trPr>
        <w:tc>
          <w:tcPr>
            <w:tcW w:type="dxa" w:w="198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暂停期间</w:t>
            </w:r>
          </w:p>
        </w:tc>
        <w:tc>
          <w:tcPr>
            <w:tcW w:type="dxa" w:w="737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已有挂单和持仓继续监控；自动保证金暂停不主动撤销既有挂单。</w:t>
            </w:r>
          </w:p>
        </w:tc>
      </w:tr>
      <w:tr>
        <w:trPr>
          <w:cantSplit/>
        </w:trPr>
        <w:tc>
          <w:tcPr>
            <w:tcW w:type="dxa" w:w="198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每日亏损熔断</w:t>
            </w:r>
          </w:p>
        </w:tc>
        <w:tc>
          <w:tcPr>
            <w:tcW w:type="dxa" w:w="737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第一版不设置。</w:t>
            </w:r>
          </w:p>
        </w:tc>
      </w:tr>
    </w:tbl>
    <w:p>
      <w:pPr>
        <w:spacing w:after="0"/>
      </w:pPr>
    </w:p>
    <w:p>
      <w:pPr>
        <w:pStyle w:val="Heading1"/>
      </w:pPr>
      <w:r>
        <w:t>9. Variational 执行与对账</w:t>
      </w:r>
    </w:p>
    <w:p>
      <w:pPr>
        <w:pStyle w:val="Heading2"/>
      </w:pPr>
      <w:r>
        <w:t>9.1 必须先完成协议发现阶段</w:t>
      </w:r>
    </w:p>
    <w:p>
      <w:pPr>
        <w:spacing w:after="80" w:before="0" w:line="276" w:lineRule="auto"/>
      </w:pPr>
      <w:r>
        <w:rPr>
          <w:rFonts w:ascii="Noto Sans CJK SC" w:hAnsi="Noto Sans CJK SC" w:eastAsia="Noto Sans CJK SC"/>
          <w:b w:val="0"/>
          <w:color w:val="222222"/>
          <w:sz w:val="21"/>
        </w:rPr>
        <w:t>正式开发执行器前，先完成独立的 Variational 协议发现。该阶段的输出是可复现的登录会话、查询和下单调用说明，而不是直接编写生产策略。</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研究对象</w:t>
            </w:r>
          </w:p>
        </w:tc>
        <w:tc>
          <w:tcPr>
            <w:tcW w:type="dxa" w:w="754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必须产出</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会话</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识别 cookies、localStorage/sessionStorage、浏览器 Profile、钱包验证与登录态生命周期。</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读取接口</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余额、保证金占用、挂单、持仓、成交历史、已实现盈亏。</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写入接口</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报价、限价入场、TP、SL、撤单、平仓；确认参数、签名、幂等键与返回状态。</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刷新机制</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会话有效期、自动刷新、失效表现和重新登录流程。</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迁移路线</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验证 Playwright page context fetch；条件允许时迁移到独立 Node HTTP 客户端。</w:t>
            </w:r>
          </w:p>
        </w:tc>
      </w:tr>
    </w:tbl>
    <w:p>
      <w:pPr>
        <w:spacing w:after="0"/>
      </w:pPr>
    </w:p>
    <w:p>
      <w:pPr>
        <w:pStyle w:val="Heading2"/>
      </w:pPr>
      <w:r>
        <w:t>9.2 执行优先级</w:t>
      </w:r>
    </w:p>
    <w:tbl>
      <w:tblPr>
        <w:tblW w:type="auto" w:w="0"/>
        <w:jc w:val="center"/>
        <w:tblLook w:firstColumn="1" w:firstRow="1" w:lastColumn="0" w:lastRow="0" w:noHBand="0" w:noVBand="1" w:val="04A0"/>
      </w:tblPr>
      <w:tblGrid>
        <w:gridCol w:w="9638"/>
      </w:tblGrid>
      <w:tr>
        <w:tc>
          <w:tcPr>
            <w:tcW w:type="dxa" w:w="9638"/>
            <w:shd w:fill="F2F4F7"/>
            <w:tcBorders>
              <w:top w:val="single" w:sz="4" w:color="CBD5E0"/>
              <w:left w:val="single" w:sz="4" w:color="CBD5E0"/>
              <w:bottom w:val="single" w:sz="4" w:color="CBD5E0"/>
              <w:right w:val="single" w:sz="4" w:color="CBD5E0"/>
            </w:tcBorders>
            <w:tcMar>
              <w:top w:w="120" w:type="dxa"/>
              <w:start w:w="140" w:type="dxa"/>
              <w:bottom w:w="120" w:type="dxa"/>
              <w:end w:w="140" w:type="dxa"/>
            </w:tcMar>
          </w:tcPr>
          <w:p>
            <w:pPr>
              <w:spacing w:after="0" w:line="240" w:lineRule="auto"/>
            </w:pPr>
            <w:r>
              <w:rPr>
                <w:rFonts w:ascii="DejaVu Sans Mono" w:hAnsi="DejaVu Sans Mono" w:eastAsia="DejaVu Sans Mono"/>
                <w:color w:val="1F2937"/>
                <w:sz w:val="17"/>
              </w:rPr>
              <w:t>1. Internal HTTP / JSON</w:t>
              <w:br/>
              <w:t xml:space="preserve">   复现 Variational 内部请求，复用已登录会话。</w:t>
              <w:br/>
              <w:br/>
              <w:t>2. Browser Context Fetch</w:t>
              <w:br/>
              <w:t xml:space="preserve">   在 Playwright 已登录页面中执行 fetch，自动携带会话信息。</w:t>
              <w:br/>
              <w:br/>
              <w:t>3. Playwright UI</w:t>
              <w:br/>
              <w:t xml:space="preserve">   仅当前两种方式不可用时，操作网页输入框和按钮。</w:t>
              <w:br/>
              <w:br/>
              <w:t>4. Computer Use</w:t>
              <w:br/>
              <w:t xml:space="preserve">   仅作为极端兜底，不作为第一版主执行路径。</w:t>
            </w:r>
          </w:p>
        </w:tc>
      </w:tr>
    </w:tbl>
    <w:p>
      <w:pPr>
        <w:spacing w:after="0"/>
      </w:pPr>
    </w:p>
    <w:p>
      <w:pPr>
        <w:pStyle w:val="Heading2"/>
      </w:pPr>
      <w:r>
        <w:t>9.3 登录与会话</w:t>
      </w:r>
    </w:p>
    <w:p>
      <w:pPr>
        <w:pStyle w:val="ListBullet"/>
        <w:spacing w:after="40" w:line="269" w:lineRule="auto"/>
      </w:pPr>
      <w:r>
        <w:rPr>
          <w:rFonts w:ascii="Noto Sans CJK SC" w:hAnsi="Noto Sans CJK SC" w:eastAsia="Noto Sans CJK SC"/>
          <w:color w:val="222222"/>
          <w:sz w:val="20"/>
        </w:rPr>
        <w:t>钱包验证只用于登录或充值；正常交易不要求每笔钱包确认。</w:t>
      </w:r>
    </w:p>
    <w:p>
      <w:pPr>
        <w:pStyle w:val="ListBullet"/>
        <w:spacing w:after="40" w:line="269" w:lineRule="auto"/>
      </w:pPr>
      <w:r>
        <w:rPr>
          <w:rFonts w:ascii="Noto Sans CJK SC" w:hAnsi="Noto Sans CJK SC" w:eastAsia="Noto Sans CJK SC"/>
          <w:color w:val="222222"/>
          <w:sz w:val="20"/>
        </w:rPr>
        <w:t>Variational 登录态失效时，立即停止真实订单提交并发送 Telegram 通知；不自动执行钱包验证。</w:t>
      </w:r>
    </w:p>
    <w:p>
      <w:pPr>
        <w:pStyle w:val="ListBullet"/>
        <w:spacing w:after="40" w:line="269" w:lineRule="auto"/>
      </w:pPr>
      <w:r>
        <w:rPr>
          <w:rFonts w:ascii="Noto Sans CJK SC" w:hAnsi="Noto Sans CJK SC" w:eastAsia="Noto Sans CJK SC"/>
          <w:color w:val="222222"/>
          <w:sz w:val="20"/>
        </w:rPr>
        <w:t>分析服务可以继续计算并记录非可执行信号，但登录失效期间产生的信号永不补单；重新登录后必须等待新的 15 分钟收盘信号。</w:t>
      </w:r>
    </w:p>
    <w:p>
      <w:pPr>
        <w:pStyle w:val="ListBullet"/>
        <w:spacing w:after="40" w:line="269" w:lineRule="auto"/>
      </w:pPr>
      <w:r>
        <w:rPr>
          <w:rFonts w:ascii="Noto Sans CJK SC" w:hAnsi="Noto Sans CJK SC" w:eastAsia="Noto Sans CJK SC"/>
          <w:color w:val="222222"/>
          <w:sz w:val="20"/>
        </w:rPr>
        <w:t>系统或主机正常重启后，若会话有效，则完成对账和数据预热后自动恢复真实交易，无需人工点击。</w:t>
      </w:r>
    </w:p>
    <w:p>
      <w:pPr>
        <w:pStyle w:val="Heading2"/>
      </w:pPr>
      <w:r>
        <w:t>9.4 启动对账与轮询</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项目</w:t>
            </w:r>
          </w:p>
        </w:tc>
        <w:tc>
          <w:tcPr>
            <w:tcW w:type="dxa" w:w="754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规则</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启动顺序</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先同步 Variational 的未成交挂单、持仓和成交历史，完成对账后才启动策略扫描。</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轮询周期</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每 30 秒同步一次 Variational 订单与持仓状态。</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权威来源</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Variational 实际状态高于本地状态。用户在网页上手动撤单、平仓或修改 TP/SL 后，本地自动同步并发送通知。</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读取接口异常</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若 Variational 状态读取暂时不可用，但执行会话和提交接口仍工作，允许继续提交新订单；所有未确认旧订单继续占用并发上限。</w:t>
            </w:r>
          </w:p>
        </w:tc>
      </w:tr>
    </w:tbl>
    <w:p>
      <w:pPr>
        <w:spacing w:after="0"/>
      </w:pPr>
    </w:p>
    <w:p>
      <w:pPr>
        <w:pStyle w:val="Heading2"/>
      </w:pPr>
      <w:r>
        <w:t>9.5 入场与保护单顺序</w:t>
      </w:r>
    </w:p>
    <w:p>
      <w:pPr>
        <w:pStyle w:val="ListBullet"/>
        <w:spacing w:after="40" w:line="269" w:lineRule="auto"/>
      </w:pPr>
      <w:r>
        <w:rPr>
          <w:rFonts w:ascii="Noto Sans CJK SC" w:hAnsi="Noto Sans CJK SC" w:eastAsia="Noto Sans CJK SC"/>
          <w:color w:val="222222"/>
          <w:sz w:val="20"/>
        </w:rPr>
        <w:t>先创建入场限价单，再立即创建 TP 和 SL。</w:t>
      </w:r>
    </w:p>
    <w:p>
      <w:pPr>
        <w:pStyle w:val="ListBullet"/>
        <w:spacing w:after="40" w:line="269" w:lineRule="auto"/>
      </w:pPr>
      <w:r>
        <w:rPr>
          <w:rFonts w:ascii="Noto Sans CJK SC" w:hAnsi="Noto Sans CJK SC" w:eastAsia="Noto Sans CJK SC"/>
          <w:color w:val="222222"/>
          <w:sz w:val="20"/>
        </w:rPr>
        <w:t>若 TP/SL 创建失败且入场尚未成交，撤销入场单。</w:t>
      </w:r>
    </w:p>
    <w:p>
      <w:pPr>
        <w:pStyle w:val="ListBullet"/>
        <w:spacing w:after="40" w:line="269" w:lineRule="auto"/>
      </w:pPr>
      <w:r>
        <w:rPr>
          <w:rFonts w:ascii="Noto Sans CJK SC" w:hAnsi="Noto Sans CJK SC" w:eastAsia="Noto Sans CJK SC"/>
          <w:color w:val="222222"/>
          <w:sz w:val="20"/>
        </w:rPr>
        <w:t>若入场已经成交、无法撤销，立即市价平仓，暂停该币种新交易，并发送 Telegram 通知。</w:t>
      </w:r>
    </w:p>
    <w:p>
      <w:pPr>
        <w:pStyle w:val="ListBullet"/>
        <w:spacing w:after="40" w:line="269" w:lineRule="auto"/>
      </w:pPr>
      <w:r>
        <w:rPr>
          <w:rFonts w:ascii="Noto Sans CJK SC" w:hAnsi="Noto Sans CJK SC" w:eastAsia="Noto Sans CJK SC"/>
          <w:color w:val="222222"/>
          <w:sz w:val="20"/>
        </w:rPr>
        <w:t>若已有持仓的 TP 或 SL 后续意外消失，暂停该币种新交易并通知用户手动处理；不自动重建，也不自动平仓。</w:t>
      </w:r>
    </w:p>
    <w:p>
      <w:pPr>
        <w:pStyle w:val="Heading2"/>
      </w:pPr>
      <w:r>
        <w:t>9.6 订单状态机</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381"/>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本地状态</w:t>
            </w:r>
          </w:p>
        </w:tc>
        <w:tc>
          <w:tcPr>
            <w:tcW w:type="dxa" w:w="6973"/>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含义</w:t>
            </w:r>
          </w:p>
        </w:tc>
      </w:tr>
      <w:tr>
        <w:trPr>
          <w:cantSplit/>
        </w:trPr>
        <w:tc>
          <w:tcPr>
            <w:tcW w:type="dxa" w:w="238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CREATED_LOCAL</w:t>
            </w:r>
          </w:p>
        </w:tc>
        <w:tc>
          <w:tcPr>
            <w:tcW w:type="dxa" w:w="697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本地已生成订单计划，尚未提交。</w:t>
            </w:r>
          </w:p>
        </w:tc>
      </w:tr>
      <w:tr>
        <w:trPr>
          <w:cantSplit/>
        </w:trPr>
        <w:tc>
          <w:tcPr>
            <w:tcW w:type="dxa" w:w="238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SUBMITTING</w:t>
            </w:r>
          </w:p>
        </w:tc>
        <w:tc>
          <w:tcPr>
            <w:tcW w:type="dxa" w:w="697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正在向 Variational 提交。</w:t>
            </w:r>
          </w:p>
        </w:tc>
      </w:tr>
      <w:tr>
        <w:trPr>
          <w:cantSplit/>
        </w:trPr>
        <w:tc>
          <w:tcPr>
            <w:tcW w:type="dxa" w:w="238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PENDING_ENTRY</w:t>
            </w:r>
          </w:p>
        </w:tc>
        <w:tc>
          <w:tcPr>
            <w:tcW w:type="dxa" w:w="697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Variational 已确认存在未成交入场单。</w:t>
            </w:r>
          </w:p>
        </w:tc>
      </w:tr>
      <w:tr>
        <w:trPr>
          <w:cantSplit/>
        </w:trPr>
        <w:tc>
          <w:tcPr>
            <w:tcW w:type="dxa" w:w="238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FILLED_OPEN</w:t>
            </w:r>
          </w:p>
        </w:tc>
        <w:tc>
          <w:tcPr>
            <w:tcW w:type="dxa" w:w="697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入场已成交，持仓开放且保护单存在。</w:t>
            </w:r>
          </w:p>
        </w:tc>
      </w:tr>
      <w:tr>
        <w:trPr>
          <w:cantSplit/>
        </w:trPr>
        <w:tc>
          <w:tcPr>
            <w:tcW w:type="dxa" w:w="238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CLOSED_TP</w:t>
            </w:r>
          </w:p>
        </w:tc>
        <w:tc>
          <w:tcPr>
            <w:tcW w:type="dxa" w:w="697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由止盈关闭。</w:t>
            </w:r>
          </w:p>
        </w:tc>
      </w:tr>
      <w:tr>
        <w:trPr>
          <w:cantSplit/>
        </w:trPr>
        <w:tc>
          <w:tcPr>
            <w:tcW w:type="dxa" w:w="238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CLOSED_SL</w:t>
            </w:r>
          </w:p>
        </w:tc>
        <w:tc>
          <w:tcPr>
            <w:tcW w:type="dxa" w:w="697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由止损关闭。</w:t>
            </w:r>
          </w:p>
        </w:tc>
      </w:tr>
      <w:tr>
        <w:trPr>
          <w:cantSplit/>
        </w:trPr>
        <w:tc>
          <w:tcPr>
            <w:tcW w:type="dxa" w:w="238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LIQUIDATED</w:t>
            </w:r>
          </w:p>
        </w:tc>
        <w:tc>
          <w:tcPr>
            <w:tcW w:type="dxa" w:w="697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发生强平。</w:t>
            </w:r>
          </w:p>
        </w:tc>
      </w:tr>
      <w:tr>
        <w:trPr>
          <w:cantSplit/>
        </w:trPr>
        <w:tc>
          <w:tcPr>
            <w:tcW w:type="dxa" w:w="238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SUBMISSION_FAILED</w:t>
            </w:r>
          </w:p>
        </w:tc>
        <w:tc>
          <w:tcPr>
            <w:tcW w:type="dxa" w:w="697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提交失败且平台未创建订单。</w:t>
            </w:r>
          </w:p>
        </w:tc>
      </w:tr>
      <w:tr>
        <w:trPr>
          <w:cantSplit/>
        </w:trPr>
        <w:tc>
          <w:tcPr>
            <w:tcW w:type="dxa" w:w="238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CANCELLED_EXTERNALLY</w:t>
            </w:r>
          </w:p>
        </w:tc>
        <w:tc>
          <w:tcPr>
            <w:tcW w:type="dxa" w:w="697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由用户或平台外部取消。</w:t>
            </w:r>
          </w:p>
        </w:tc>
      </w:tr>
      <w:tr>
        <w:trPr>
          <w:cantSplit/>
        </w:trPr>
        <w:tc>
          <w:tcPr>
            <w:tcW w:type="dxa" w:w="238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UNKNOWN</w:t>
            </w:r>
          </w:p>
        </w:tc>
        <w:tc>
          <w:tcPr>
            <w:tcW w:type="dxa" w:w="697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无法确认平台实际状态，继续占用并发上限。</w:t>
            </w:r>
          </w:p>
        </w:tc>
      </w:tr>
      <w:tr>
        <w:trPr>
          <w:cantSplit/>
        </w:trPr>
        <w:tc>
          <w:tcPr>
            <w:tcW w:type="dxa" w:w="238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RECONCILIATION_REQUIRED</w:t>
            </w:r>
          </w:p>
        </w:tc>
        <w:tc>
          <w:tcPr>
            <w:tcW w:type="dxa" w:w="697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状态不一致，等待对账。</w:t>
            </w:r>
          </w:p>
        </w:tc>
      </w:tr>
    </w:tbl>
    <w:p>
      <w:pPr>
        <w:spacing w:after="0"/>
      </w:pPr>
    </w:p>
    <w:p>
      <w:pPr>
        <w:pStyle w:val="Heading1"/>
      </w:pPr>
      <w:r>
        <w:t>10. 暂停、恢复与故障处理</w:t>
      </w:r>
    </w:p>
    <w:p>
      <w:pPr>
        <w:pStyle w:val="Heading2"/>
      </w:pPr>
      <w:r>
        <w:t>10.1 全局手动暂停</w:t>
      </w:r>
    </w:p>
    <w:p>
      <w:pPr>
        <w:pStyle w:val="ListBullet"/>
        <w:spacing w:after="40" w:line="269" w:lineRule="auto"/>
      </w:pPr>
      <w:r>
        <w:rPr>
          <w:rFonts w:ascii="Noto Sans CJK SC" w:hAnsi="Noto Sans CJK SC" w:eastAsia="Noto Sans CJK SC"/>
          <w:color w:val="222222"/>
          <w:sz w:val="20"/>
        </w:rPr>
        <w:t>后台提供全局“暂停交易”开关。</w:t>
      </w:r>
    </w:p>
    <w:p>
      <w:pPr>
        <w:pStyle w:val="ListBullet"/>
        <w:spacing w:after="40" w:line="269" w:lineRule="auto"/>
      </w:pPr>
      <w:r>
        <w:rPr>
          <w:rFonts w:ascii="Noto Sans CJK SC" w:hAnsi="Noto Sans CJK SC" w:eastAsia="Noto Sans CJK SC"/>
          <w:color w:val="222222"/>
          <w:sz w:val="20"/>
        </w:rPr>
        <w:t>触发后停止全部新扫描和新下单，并尝试撤销全部未成交限价单。</w:t>
      </w:r>
    </w:p>
    <w:p>
      <w:pPr>
        <w:pStyle w:val="ListBullet"/>
        <w:spacing w:after="40" w:line="269" w:lineRule="auto"/>
      </w:pPr>
      <w:r>
        <w:rPr>
          <w:rFonts w:ascii="Noto Sans CJK SC" w:hAnsi="Noto Sans CJK SC" w:eastAsia="Noto Sans CJK SC"/>
          <w:color w:val="222222"/>
          <w:sz w:val="20"/>
        </w:rPr>
        <w:t>已有持仓继续由原 TP/SL 管理。</w:t>
      </w:r>
    </w:p>
    <w:p>
      <w:pPr>
        <w:pStyle w:val="ListBullet"/>
        <w:spacing w:after="40" w:line="269" w:lineRule="auto"/>
      </w:pPr>
      <w:r>
        <w:rPr>
          <w:rFonts w:ascii="Noto Sans CJK SC" w:hAnsi="Noto Sans CJK SC" w:eastAsia="Noto Sans CJK SC"/>
          <w:color w:val="222222"/>
          <w:sz w:val="20"/>
        </w:rPr>
        <w:t>撤单失败只在后台显示，由用户前往 Variational 手动处理；不自动持续重试。</w:t>
      </w:r>
    </w:p>
    <w:p>
      <w:pPr>
        <w:pStyle w:val="Heading2"/>
      </w:pPr>
      <w:r>
        <w:t>10.2 单币暂停</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项目</w:t>
            </w:r>
          </w:p>
        </w:tc>
        <w:tc>
          <w:tcPr>
            <w:tcW w:type="dxa" w:w="754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规则</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触发来源</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数据过期、TP/SL 异常、保护单创建后置失败、订单状态异常或用户手动暂停。</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效果</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停止该币种新扫描和新下单；其他币种继续运行。</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恢复</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只能由用户在后台手动点击恢复。系统不因数据恢复、服务重启或异常消失而自动恢复。</w:t>
            </w:r>
          </w:p>
        </w:tc>
      </w:tr>
    </w:tbl>
    <w:p>
      <w:pPr>
        <w:spacing w:after="0"/>
      </w:pPr>
    </w:p>
    <w:p>
      <w:pPr>
        <w:pStyle w:val="Heading2"/>
      </w:pPr>
      <w:r>
        <w:t>10.3 故障优先级</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268"/>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故障</w:t>
            </w:r>
          </w:p>
        </w:tc>
        <w:tc>
          <w:tcPr>
            <w:tcW w:type="dxa" w:w="7087"/>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系统动作</w:t>
            </w:r>
          </w:p>
        </w:tc>
      </w:tr>
      <w:tr>
        <w:trPr>
          <w:cantSplit/>
        </w:trPr>
        <w:tc>
          <w:tcPr>
            <w:tcW w:type="dxa" w:w="226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Binance/CoinGlass 单币异常</w:t>
            </w:r>
          </w:p>
        </w:tc>
        <w:tc>
          <w:tcPr>
            <w:tcW w:type="dxa" w:w="708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暂停该币，不影响其他币。</w:t>
            </w:r>
          </w:p>
        </w:tc>
      </w:tr>
      <w:tr>
        <w:trPr>
          <w:cantSplit/>
        </w:trPr>
        <w:tc>
          <w:tcPr>
            <w:tcW w:type="dxa" w:w="226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Variational 登录失效</w:t>
            </w:r>
          </w:p>
        </w:tc>
        <w:tc>
          <w:tcPr>
            <w:tcW w:type="dxa" w:w="708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停止所有真实下单；保留分析；通知人工登录；不补历史信号。</w:t>
            </w:r>
          </w:p>
        </w:tc>
      </w:tr>
      <w:tr>
        <w:trPr>
          <w:cantSplit/>
        </w:trPr>
        <w:tc>
          <w:tcPr>
            <w:tcW w:type="dxa" w:w="226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保证金占用 ≥80%</w:t>
            </w:r>
          </w:p>
        </w:tc>
        <w:tc>
          <w:tcPr>
            <w:tcW w:type="dxa" w:w="708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暂停全部扫描和新订单；低于 75% 自动恢复。</w:t>
            </w:r>
          </w:p>
        </w:tc>
      </w:tr>
      <w:tr>
        <w:trPr>
          <w:cantSplit/>
        </w:trPr>
        <w:tc>
          <w:tcPr>
            <w:tcW w:type="dxa" w:w="226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服务重启失败</w:t>
            </w:r>
          </w:p>
        </w:tc>
        <w:tc>
          <w:tcPr>
            <w:tcW w:type="dxa" w:w="708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Dashboard 标记异常；涉及密钥更新时发送 Telegram（若 Telegram 可用）。</w:t>
            </w:r>
          </w:p>
        </w:tc>
      </w:tr>
      <w:tr>
        <w:trPr>
          <w:cantSplit/>
        </w:trPr>
        <w:tc>
          <w:tcPr>
            <w:tcW w:type="dxa" w:w="226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未知订单状态</w:t>
            </w:r>
          </w:p>
        </w:tc>
        <w:tc>
          <w:tcPr>
            <w:tcW w:type="dxa" w:w="708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标记 UNKNOWN/RECONCILIATION_REQUIRED，继续占用订单上限，避免重复下单。</w:t>
            </w:r>
          </w:p>
        </w:tc>
      </w:tr>
    </w:tbl>
    <w:p>
      <w:pPr>
        <w:spacing w:after="0"/>
      </w:pPr>
    </w:p>
    <w:p>
      <w:pPr>
        <w:pStyle w:val="Heading1"/>
      </w:pPr>
      <w:r>
        <w:t>11. Telegram 通知</w:t>
      </w:r>
    </w:p>
    <w:p>
      <w:pPr>
        <w:pStyle w:val="Heading2"/>
      </w:pPr>
      <w:r>
        <w:t>11.1 配置</w:t>
      </w:r>
    </w:p>
    <w:p>
      <w:pPr>
        <w:pStyle w:val="ListBullet"/>
        <w:spacing w:after="40" w:line="269" w:lineRule="auto"/>
      </w:pPr>
      <w:r>
        <w:rPr>
          <w:rFonts w:ascii="Noto Sans CJK SC" w:hAnsi="Noto Sans CJK SC" w:eastAsia="Noto Sans CJK SC"/>
          <w:color w:val="222222"/>
          <w:sz w:val="20"/>
        </w:rPr>
        <w:t>只配置一个 Bot Token 和一个固定 Chat ID。</w:t>
      </w:r>
    </w:p>
    <w:p>
      <w:pPr>
        <w:pStyle w:val="ListBullet"/>
        <w:spacing w:after="40" w:line="269" w:lineRule="auto"/>
      </w:pPr>
      <w:r>
        <w:rPr>
          <w:rFonts w:ascii="Noto Sans CJK SC" w:hAnsi="Noto Sans CJK SC" w:eastAsia="Noto Sans CJK SC"/>
          <w:color w:val="222222"/>
          <w:sz w:val="20"/>
        </w:rPr>
        <w:t>保存前必须向该 Chat ID 发送真实测试消息；发送成功才允许保存。</w:t>
      </w:r>
    </w:p>
    <w:p>
      <w:pPr>
        <w:pStyle w:val="ListBullet"/>
        <w:spacing w:after="40" w:line="269" w:lineRule="auto"/>
      </w:pPr>
      <w:r>
        <w:rPr>
          <w:rFonts w:ascii="Noto Sans CJK SC" w:hAnsi="Noto Sans CJK SC" w:eastAsia="Noto Sans CJK SC"/>
          <w:color w:val="222222"/>
          <w:sz w:val="20"/>
        </w:rPr>
        <w:t>Bot Token 和 Chat ID 存入本机 .env；默认脱敏显示，点击后直接显示完整值，无二次确认。</w:t>
      </w:r>
    </w:p>
    <w:p>
      <w:pPr>
        <w:pStyle w:val="ListBullet"/>
        <w:spacing w:after="40" w:line="269" w:lineRule="auto"/>
      </w:pPr>
      <w:r>
        <w:rPr>
          <w:rFonts w:ascii="Noto Sans CJK SC" w:hAnsi="Noto Sans CJK SC" w:eastAsia="Noto Sans CJK SC"/>
          <w:color w:val="222222"/>
          <w:sz w:val="20"/>
        </w:rPr>
        <w:t>后台修改密钥时先测试有效性，通过后写入 .env，并只重启使用该密钥的相关服务。</w:t>
      </w:r>
    </w:p>
    <w:p>
      <w:pPr>
        <w:pStyle w:val="ListBullet"/>
        <w:spacing w:after="40" w:line="269" w:lineRule="auto"/>
      </w:pPr>
      <w:r>
        <w:rPr>
          <w:rFonts w:ascii="Noto Sans CJK SC" w:hAnsi="Noto Sans CJK SC" w:eastAsia="Noto Sans CJK SC"/>
          <w:color w:val="222222"/>
          <w:sz w:val="20"/>
        </w:rPr>
        <w:t>相关服务重启失败时保留新密钥、标记服务异常并尝试发送 Telegram；不回滚旧值。</w:t>
      </w:r>
    </w:p>
    <w:p>
      <w:pPr>
        <w:pStyle w:val="ListBullet"/>
        <w:spacing w:after="40" w:line="269" w:lineRule="auto"/>
      </w:pPr>
      <w:r>
        <w:rPr>
          <w:rFonts w:ascii="Noto Sans CJK SC" w:hAnsi="Noto Sans CJK SC" w:eastAsia="Noto Sans CJK SC"/>
          <w:color w:val="222222"/>
          <w:sz w:val="20"/>
        </w:rPr>
        <w:t>第一版不保存密钥修改审计记录。</w:t>
      </w:r>
    </w:p>
    <w:p>
      <w:pPr>
        <w:pStyle w:val="Heading2"/>
      </w:pPr>
      <w:r>
        <w:t>11.2 默认事件</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5669"/>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事件类别</w:t>
            </w:r>
          </w:p>
        </w:tc>
        <w:tc>
          <w:tcPr>
            <w:tcW w:type="dxa" w:w="3685"/>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默认状态</w:t>
            </w:r>
          </w:p>
        </w:tc>
      </w:tr>
      <w:tr>
        <w:trPr>
          <w:cantSplit/>
        </w:trPr>
        <w:tc>
          <w:tcPr>
            <w:tcW w:type="dxa" w:w="5669"/>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策略信号触发</w:t>
            </w:r>
          </w:p>
        </w:tc>
        <w:tc>
          <w:tcPr>
            <w:tcW w:type="dxa" w:w="3685"/>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开启</w:t>
            </w:r>
          </w:p>
        </w:tc>
      </w:tr>
      <w:tr>
        <w:trPr>
          <w:cantSplit/>
        </w:trPr>
        <w:tc>
          <w:tcPr>
            <w:tcW w:type="dxa" w:w="5669"/>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订单创建成功/失败</w:t>
            </w:r>
          </w:p>
        </w:tc>
        <w:tc>
          <w:tcPr>
            <w:tcW w:type="dxa" w:w="3685"/>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开启</w:t>
            </w:r>
          </w:p>
        </w:tc>
      </w:tr>
      <w:tr>
        <w:trPr>
          <w:cantSplit/>
        </w:trPr>
        <w:tc>
          <w:tcPr>
            <w:tcW w:type="dxa" w:w="5669"/>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入场成交</w:t>
            </w:r>
          </w:p>
        </w:tc>
        <w:tc>
          <w:tcPr>
            <w:tcW w:type="dxa" w:w="3685"/>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开启</w:t>
            </w:r>
          </w:p>
        </w:tc>
      </w:tr>
      <w:tr>
        <w:trPr>
          <w:cantSplit/>
        </w:trPr>
        <w:tc>
          <w:tcPr>
            <w:tcW w:type="dxa" w:w="5669"/>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止盈关闭</w:t>
            </w:r>
          </w:p>
        </w:tc>
        <w:tc>
          <w:tcPr>
            <w:tcW w:type="dxa" w:w="3685"/>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开启</w:t>
            </w:r>
          </w:p>
        </w:tc>
      </w:tr>
      <w:tr>
        <w:trPr>
          <w:cantSplit/>
        </w:trPr>
        <w:tc>
          <w:tcPr>
            <w:tcW w:type="dxa" w:w="5669"/>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止损关闭/强平</w:t>
            </w:r>
          </w:p>
        </w:tc>
        <w:tc>
          <w:tcPr>
            <w:tcW w:type="dxa" w:w="3685"/>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开启</w:t>
            </w:r>
          </w:p>
        </w:tc>
      </w:tr>
      <w:tr>
        <w:trPr>
          <w:cantSplit/>
        </w:trPr>
        <w:tc>
          <w:tcPr>
            <w:tcW w:type="dxa" w:w="5669"/>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系统异常</w:t>
            </w:r>
          </w:p>
        </w:tc>
        <w:tc>
          <w:tcPr>
            <w:tcW w:type="dxa" w:w="3685"/>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开启</w:t>
            </w:r>
          </w:p>
        </w:tc>
      </w:tr>
      <w:tr>
        <w:trPr>
          <w:cantSplit/>
        </w:trPr>
        <w:tc>
          <w:tcPr>
            <w:tcW w:type="dxa" w:w="5669"/>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Variational 登录失效</w:t>
            </w:r>
          </w:p>
        </w:tc>
        <w:tc>
          <w:tcPr>
            <w:tcW w:type="dxa" w:w="3685"/>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开启</w:t>
            </w:r>
          </w:p>
        </w:tc>
      </w:tr>
      <w:tr>
        <w:trPr>
          <w:cantSplit/>
        </w:trPr>
        <w:tc>
          <w:tcPr>
            <w:tcW w:type="dxa" w:w="5669"/>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保证金暂停/恢复</w:t>
            </w:r>
          </w:p>
        </w:tc>
        <w:tc>
          <w:tcPr>
            <w:tcW w:type="dxa" w:w="3685"/>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开启</w:t>
            </w:r>
          </w:p>
        </w:tc>
      </w:tr>
      <w:tr>
        <w:trPr>
          <w:cantSplit/>
        </w:trPr>
        <w:tc>
          <w:tcPr>
            <w:tcW w:type="dxa" w:w="5669"/>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服务恢复</w:t>
            </w:r>
          </w:p>
        </w:tc>
        <w:tc>
          <w:tcPr>
            <w:tcW w:type="dxa" w:w="3685"/>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开启</w:t>
            </w:r>
          </w:p>
        </w:tc>
      </w:tr>
    </w:tbl>
    <w:p>
      <w:pPr>
        <w:spacing w:after="0"/>
      </w:pPr>
    </w:p>
    <w:p>
      <w:pPr>
        <w:spacing w:after="80" w:before="0" w:line="276" w:lineRule="auto"/>
      </w:pPr>
      <w:r>
        <w:rPr>
          <w:rFonts w:ascii="Noto Sans CJK SC" w:hAnsi="Noto Sans CJK SC" w:eastAsia="Noto Sans CJK SC"/>
          <w:b/>
          <w:color w:val="17324D"/>
          <w:sz w:val="21"/>
        </w:rPr>
        <w:t>各事件类别可在后台分别开启或关闭。</w:t>
      </w:r>
    </w:p>
    <w:p>
      <w:pPr>
        <w:pStyle w:val="Heading2"/>
      </w:pPr>
      <w:r>
        <w:t>11.3 发送失败与恢复</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71"/>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项目</w:t>
            </w:r>
          </w:p>
        </w:tc>
        <w:tc>
          <w:tcPr>
            <w:tcW w:type="dxa" w:w="7483"/>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规则</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重试</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发送失败后固定每隔 10 秒重试一次，最多重试 3 次。</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进入异常</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3 次仍失败，将该通知标记失败，并将 Telegram 服务标记异常。</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异常期间</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停止发送；新产生的通知直接丢弃，不入队、不补发。</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恢复检测</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不自动检测。用户在后台点击“重新测试”，测试成功后恢复正常。</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恢复通知</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成功恢复时发送一条“服务已恢复”消息。</w:t>
            </w:r>
          </w:p>
        </w:tc>
      </w:tr>
    </w:tbl>
    <w:p>
      <w:pPr>
        <w:spacing w:after="0"/>
      </w:pPr>
    </w:p>
    <w:p>
      <w:pPr>
        <w:pStyle w:val="Heading1"/>
      </w:pPr>
      <w:r>
        <w:t>12. Dashboard 与后台管理</w:t>
      </w:r>
    </w:p>
    <w:p>
      <w:pPr>
        <w:pStyle w:val="Heading2"/>
      </w:pPr>
      <w:r>
        <w:t>12.1 访问方式</w:t>
      </w:r>
    </w:p>
    <w:p>
      <w:pPr>
        <w:pStyle w:val="ListBullet"/>
        <w:spacing w:after="40" w:line="269" w:lineRule="auto"/>
      </w:pPr>
      <w:r>
        <w:rPr>
          <w:rFonts w:ascii="Noto Sans CJK SC" w:hAnsi="Noto Sans CJK SC" w:eastAsia="Noto Sans CJK SC"/>
          <w:color w:val="222222"/>
          <w:sz w:val="20"/>
        </w:rPr>
        <w:t>第一版仅允许 MacBook 本机访问，不做登录验证。</w:t>
      </w:r>
    </w:p>
    <w:p>
      <w:pPr>
        <w:pStyle w:val="ListBullet"/>
        <w:spacing w:after="40" w:line="269" w:lineRule="auto"/>
      </w:pPr>
      <w:r>
        <w:rPr>
          <w:rFonts w:ascii="Noto Sans CJK SC" w:hAnsi="Noto Sans CJK SC" w:eastAsia="Noto Sans CJK SC"/>
          <w:color w:val="222222"/>
          <w:sz w:val="20"/>
        </w:rPr>
        <w:t>所有时间固定显示为 UTC+8（北京时间/新加坡时间），不跟随主机时区。</w:t>
      </w:r>
    </w:p>
    <w:p>
      <w:pPr>
        <w:pStyle w:val="ListBullet"/>
        <w:spacing w:after="40" w:line="269" w:lineRule="auto"/>
      </w:pPr>
      <w:r>
        <w:rPr>
          <w:rFonts w:ascii="Noto Sans CJK SC" w:hAnsi="Noto Sans CJK SC" w:eastAsia="Noto Sans CJK SC"/>
          <w:color w:val="222222"/>
          <w:sz w:val="20"/>
        </w:rPr>
        <w:t>后台交易操作只读；用户需要手动处理时跳转或提示 Variational URL。</w:t>
      </w:r>
    </w:p>
    <w:p>
      <w:pPr>
        <w:pStyle w:val="Heading2"/>
      </w:pPr>
      <w:r>
        <w:t>12.2 首页 Dashboard</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71"/>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模块</w:t>
            </w:r>
          </w:p>
        </w:tc>
        <w:tc>
          <w:tcPr>
            <w:tcW w:type="dxa" w:w="7483"/>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展示要求</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BTC 状态</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BULL/BEAR/RANGE/TRANSITION、日线与 4h 判断、ADX 状态。</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市场扫描表</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币种、价格、OI、CVD、Funding、Heatmap、四条件结果、信号状态、暂停原因。</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账户风险</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余额、保证金占用率、80%/75% 阈值状态、Variational 登录状态。</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订单与持仓</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未成交订单、开放持仓、入场、TP、SL、当前 PnL、状态更新时间。</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系统健康</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Binance、CoinGlass、Variational、各 Worker、Telegram 的状态和最后成功时间。</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快捷控制</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全局暂停/恢复；单币手动暂停/恢复；Telegram 重新测试。</w:t>
            </w:r>
          </w:p>
        </w:tc>
      </w:tr>
    </w:tbl>
    <w:p>
      <w:pPr>
        <w:spacing w:after="0"/>
      </w:pPr>
    </w:p>
    <w:p>
      <w:pPr>
        <w:pStyle w:val="Heading2"/>
      </w:pPr>
      <w:r>
        <w:t>12.3 K 线图</w:t>
      </w:r>
    </w:p>
    <w:p>
      <w:pPr>
        <w:pStyle w:val="ListBullet"/>
        <w:spacing w:after="40" w:line="269" w:lineRule="auto"/>
      </w:pPr>
      <w:r>
        <w:rPr>
          <w:rFonts w:ascii="Noto Sans CJK SC" w:hAnsi="Noto Sans CJK SC" w:eastAsia="Noto Sans CJK SC"/>
          <w:color w:val="222222"/>
          <w:sz w:val="20"/>
        </w:rPr>
        <w:t>提供简单 K 线图，不复制完整 TradingView 工作区。</w:t>
      </w:r>
    </w:p>
    <w:p>
      <w:pPr>
        <w:pStyle w:val="ListBullet"/>
        <w:spacing w:after="40" w:line="269" w:lineRule="auto"/>
      </w:pPr>
      <w:r>
        <w:rPr>
          <w:rFonts w:ascii="Noto Sans CJK SC" w:hAnsi="Noto Sans CJK SC" w:eastAsia="Noto Sans CJK SC"/>
          <w:color w:val="222222"/>
          <w:sz w:val="20"/>
        </w:rPr>
        <w:t>标记策略信号、限价入场、TP、SL 和 Heatmap 目标区域。</w:t>
      </w:r>
    </w:p>
    <w:p>
      <w:pPr>
        <w:pStyle w:val="ListBullet"/>
        <w:spacing w:after="40" w:line="269" w:lineRule="auto"/>
      </w:pPr>
      <w:r>
        <w:rPr>
          <w:rFonts w:ascii="Noto Sans CJK SC" w:hAnsi="Noto Sans CJK SC" w:eastAsia="Noto Sans CJK SC"/>
          <w:color w:val="222222"/>
          <w:sz w:val="20"/>
        </w:rPr>
        <w:t>图表所需 Binance K 线可按需临时获取，不要求写入长期行情库。</w:t>
      </w:r>
    </w:p>
    <w:p>
      <w:pPr>
        <w:pStyle w:val="Heading2"/>
      </w:pPr>
      <w:r>
        <w:t>12.4 管理页面</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71"/>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页面</w:t>
            </w:r>
          </w:p>
        </w:tc>
        <w:tc>
          <w:tcPr>
            <w:tcW w:type="dxa" w:w="7483"/>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功能</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币种管理</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新增/编辑/删除币种；校验 Binance 和 CoinGlass；配置 Variational URL；启停采集、信号、交易。</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策略管理</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新建/编辑/删除策略；选择 2～4 个不重复条件；AND 或 N-of-M；选择单一 Heatmap 周期；启用唯一运行策略。</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订单与持仓</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只读查看、筛选和跳转 Variational；不提供撤单、平仓和改保护单。</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统计</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按策略查看信号数、订单数、成交数、成交率、胜率、盈亏和最大连续盈亏。</w:t>
            </w:r>
          </w:p>
        </w:tc>
      </w:tr>
      <w:tr>
        <w:trPr>
          <w:cantSplit/>
        </w:trPr>
        <w:tc>
          <w:tcPr>
            <w:tcW w:type="dxa" w:w="1871"/>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系统设置</w:t>
            </w:r>
          </w:p>
        </w:tc>
        <w:tc>
          <w:tcPr>
            <w:tcW w:type="dxa" w:w="7483"/>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Binance、CoinGlass、Telegram 等密钥；测试、保存、重启相关服务。</w:t>
            </w:r>
          </w:p>
        </w:tc>
      </w:tr>
      <w:tr>
        <w:trPr>
          <w:cantSplit/>
        </w:trPr>
        <w:tc>
          <w:tcPr>
            <w:tcW w:type="dxa" w:w="1871"/>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系统健康</w:t>
            </w:r>
          </w:p>
        </w:tc>
        <w:tc>
          <w:tcPr>
            <w:tcW w:type="dxa" w:w="7483"/>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服务状态、数据新鲜度、错误详情、单币暂停和手动恢复。</w:t>
            </w:r>
          </w:p>
        </w:tc>
      </w:tr>
    </w:tbl>
    <w:p>
      <w:pPr>
        <w:spacing w:after="0"/>
      </w:pPr>
    </w:p>
    <w:p>
      <w:pPr>
        <w:pStyle w:val="Heading1"/>
      </w:pPr>
      <w:r>
        <w:t>13. 数据存储、安全与运维</w:t>
      </w:r>
    </w:p>
    <w:p>
      <w:pPr>
        <w:pStyle w:val="Heading2"/>
      </w:pPr>
      <w:r>
        <w:t>13.1 保存范围</w:t>
      </w:r>
    </w:p>
    <w:p>
      <w:pPr>
        <w:pStyle w:val="ListBullet"/>
        <w:spacing w:after="40" w:line="269" w:lineRule="auto"/>
      </w:pPr>
      <w:r>
        <w:rPr>
          <w:rFonts w:ascii="Noto Sans CJK SC" w:hAnsi="Noto Sans CJK SC" w:eastAsia="Noto Sans CJK SC"/>
          <w:color w:val="222222"/>
          <w:sz w:val="20"/>
        </w:rPr>
        <w:t>保存每轮指标快照、策略条件结果、信号、订单、持仓、成交、PnL、服务健康和业务错误。</w:t>
      </w:r>
    </w:p>
    <w:p>
      <w:pPr>
        <w:pStyle w:val="ListBullet"/>
        <w:spacing w:after="40" w:line="269" w:lineRule="auto"/>
      </w:pPr>
      <w:r>
        <w:rPr>
          <w:rFonts w:ascii="Noto Sans CJK SC" w:hAnsi="Noto Sans CJK SC" w:eastAsia="Noto Sans CJK SC"/>
          <w:color w:val="222222"/>
          <w:sz w:val="20"/>
        </w:rPr>
        <w:t>所有记录默认永久保存，不做自动清理；数据库变大后由用户手动清理。</w:t>
      </w:r>
    </w:p>
    <w:p>
      <w:pPr>
        <w:pStyle w:val="ListBullet"/>
        <w:spacing w:after="40" w:line="269" w:lineRule="auto"/>
      </w:pPr>
      <w:r>
        <w:rPr>
          <w:rFonts w:ascii="Noto Sans CJK SC" w:hAnsi="Noto Sans CJK SC" w:eastAsia="Noto Sans CJK SC"/>
          <w:color w:val="222222"/>
          <w:sz w:val="20"/>
        </w:rPr>
        <w:t>不保存 Binance 逐笔成交和原始 K 线。CVD 原始成交只在内存/短期流处理中使用，用完丢弃。</w:t>
      </w:r>
    </w:p>
    <w:p>
      <w:pPr>
        <w:pStyle w:val="ListBullet"/>
        <w:spacing w:after="40" w:line="269" w:lineRule="auto"/>
      </w:pPr>
      <w:r>
        <w:rPr>
          <w:rFonts w:ascii="Noto Sans CJK SC" w:hAnsi="Noto Sans CJK SC" w:eastAsia="Noto Sans CJK SC"/>
          <w:color w:val="222222"/>
          <w:sz w:val="20"/>
        </w:rPr>
        <w:t>第一版不提供任何备份或恢复功能。</w:t>
      </w:r>
    </w:p>
    <w:p>
      <w:pPr>
        <w:pStyle w:val="Heading2"/>
      </w:pPr>
      <w:r>
        <w:t>13.2 密钥管理</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81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项目</w:t>
            </w:r>
          </w:p>
        </w:tc>
        <w:tc>
          <w:tcPr>
            <w:tcW w:type="dxa" w:w="754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规则</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存储</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本机 .env 文件；不写入 PostgreSQL，不使用 macOS Keychain。</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Git</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.env 必须加入 .gitignore；仓库只提交 .env.example。</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后台显示</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默认脱敏，点击直接展示完整值。</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修改流程</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先调用平台验证；成功后写入 .env；重启相关服务。</w:t>
            </w:r>
          </w:p>
        </w:tc>
      </w:tr>
      <w:tr>
        <w:trPr>
          <w:cantSplit/>
        </w:trPr>
        <w:tc>
          <w:tcPr>
            <w:tcW w:type="dxa" w:w="181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失败流程</w:t>
            </w:r>
          </w:p>
        </w:tc>
        <w:tc>
          <w:tcPr>
            <w:tcW w:type="dxa" w:w="754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保留新值，服务标记异常，不自动回滚。</w:t>
            </w:r>
          </w:p>
        </w:tc>
      </w:tr>
      <w:tr>
        <w:trPr>
          <w:cantSplit/>
        </w:trPr>
        <w:tc>
          <w:tcPr>
            <w:tcW w:type="dxa" w:w="181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审计</w:t>
            </w:r>
          </w:p>
        </w:tc>
        <w:tc>
          <w:tcPr>
            <w:tcW w:type="dxa" w:w="754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不记录密钥修改时间、旧值、新值或结果。</w:t>
            </w:r>
          </w:p>
        </w:tc>
      </w:tr>
    </w:tbl>
    <w:p>
      <w:pPr>
        <w:spacing w:after="0"/>
      </w:pPr>
    </w:p>
    <w:p>
      <w:pPr>
        <w:pStyle w:val="Heading2"/>
      </w:pPr>
      <w:r>
        <w:t>13.3 可靠性要求</w:t>
      </w:r>
    </w:p>
    <w:p>
      <w:pPr>
        <w:pStyle w:val="ListBullet"/>
        <w:spacing w:after="40" w:line="269" w:lineRule="auto"/>
      </w:pPr>
      <w:r>
        <w:rPr>
          <w:rFonts w:ascii="Noto Sans CJK SC" w:hAnsi="Noto Sans CJK SC" w:eastAsia="Noto Sans CJK SC"/>
          <w:color w:val="222222"/>
          <w:sz w:val="20"/>
        </w:rPr>
        <w:t>所有订单提交必须具备本地唯一键，防止服务重启或超时导致重复提交。</w:t>
      </w:r>
    </w:p>
    <w:p>
      <w:pPr>
        <w:pStyle w:val="ListBullet"/>
        <w:spacing w:after="40" w:line="269" w:lineRule="auto"/>
      </w:pPr>
      <w:r>
        <w:rPr>
          <w:rFonts w:ascii="Noto Sans CJK SC" w:hAnsi="Noto Sans CJK SC" w:eastAsia="Noto Sans CJK SC"/>
          <w:color w:val="222222"/>
          <w:sz w:val="20"/>
        </w:rPr>
        <w:t>本地状态变更和待发送事件使用 PostgreSQL 事务/Outbox 模式，第一版不依赖 Redis。</w:t>
      </w:r>
    </w:p>
    <w:p>
      <w:pPr>
        <w:pStyle w:val="ListBullet"/>
        <w:spacing w:after="40" w:line="269" w:lineRule="auto"/>
      </w:pPr>
      <w:r>
        <w:rPr>
          <w:rFonts w:ascii="Noto Sans CJK SC" w:hAnsi="Noto Sans CJK SC" w:eastAsia="Noto Sans CJK SC"/>
          <w:color w:val="222222"/>
          <w:sz w:val="20"/>
        </w:rPr>
        <w:t>每个 Worker 可独立重启；Variational Agent 故障不应停止 Binance/CoinGlass 数据分析。</w:t>
      </w:r>
    </w:p>
    <w:p>
      <w:pPr>
        <w:pStyle w:val="ListBullet"/>
        <w:spacing w:after="40" w:line="269" w:lineRule="auto"/>
      </w:pPr>
      <w:r>
        <w:rPr>
          <w:rFonts w:ascii="Noto Sans CJK SC" w:hAnsi="Noto Sans CJK SC" w:eastAsia="Noto Sans CJK SC"/>
          <w:color w:val="222222"/>
          <w:sz w:val="20"/>
        </w:rPr>
        <w:t>服务健康状态必须包含：最后成功时间、连续失败次数、当前错误和是否阻断交易。</w:t>
      </w:r>
    </w:p>
    <w:p>
      <w:pPr>
        <w:pStyle w:val="Heading1"/>
      </w:pPr>
      <w:r>
        <w:t>14. 统计口径与验收标准</w:t>
      </w:r>
    </w:p>
    <w:p>
      <w:pPr>
        <w:pStyle w:val="Heading2"/>
      </w:pPr>
      <w:r>
        <w:t>14.1 统计口径</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928"/>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指标</w:t>
            </w:r>
          </w:p>
        </w:tc>
        <w:tc>
          <w:tcPr>
            <w:tcW w:type="dxa" w:w="7427"/>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定义</w:t>
            </w:r>
          </w:p>
        </w:tc>
      </w:tr>
      <w:tr>
        <w:trPr>
          <w:cantSplit/>
        </w:trPr>
        <w:tc>
          <w:tcPr>
            <w:tcW w:type="dxa" w:w="192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统计维度</w:t>
            </w:r>
          </w:p>
        </w:tc>
        <w:tc>
          <w:tcPr>
            <w:tcW w:type="dxa" w:w="742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第一版只按策略汇总，不按币种、市场状态或月份进一步拆分。</w:t>
            </w:r>
          </w:p>
        </w:tc>
      </w:tr>
      <w:tr>
        <w:trPr>
          <w:cantSplit/>
        </w:trPr>
        <w:tc>
          <w:tcPr>
            <w:tcW w:type="dxa" w:w="192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信号数</w:t>
            </w:r>
          </w:p>
        </w:tc>
        <w:tc>
          <w:tcPr>
            <w:tcW w:type="dxa" w:w="742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满足策略并形成信号记录的次数。登录失效期间的非可执行信号单独标识。</w:t>
            </w:r>
          </w:p>
        </w:tc>
      </w:tr>
      <w:tr>
        <w:trPr>
          <w:cantSplit/>
        </w:trPr>
        <w:tc>
          <w:tcPr>
            <w:tcW w:type="dxa" w:w="192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订单数</w:t>
            </w:r>
          </w:p>
        </w:tc>
        <w:tc>
          <w:tcPr>
            <w:tcW w:type="dxa" w:w="742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实际进入提交流程的订单数量。</w:t>
            </w:r>
          </w:p>
        </w:tc>
      </w:tr>
      <w:tr>
        <w:trPr>
          <w:cantSplit/>
        </w:trPr>
        <w:tc>
          <w:tcPr>
            <w:tcW w:type="dxa" w:w="192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成交率</w:t>
            </w:r>
          </w:p>
        </w:tc>
        <w:tc>
          <w:tcPr>
            <w:tcW w:type="dxa" w:w="742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成交订单数 ÷ 已创建订单数。</w:t>
            </w:r>
          </w:p>
        </w:tc>
      </w:tr>
      <w:tr>
        <w:trPr>
          <w:cantSplit/>
        </w:trPr>
        <w:tc>
          <w:tcPr>
            <w:tcW w:type="dxa" w:w="192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胜率</w:t>
            </w:r>
          </w:p>
        </w:tc>
        <w:tc>
          <w:tcPr>
            <w:tcW w:type="dxa" w:w="742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TP 关闭笔数 ÷ 已正常关闭的成交仓位数。未成交订单不计入胜率。</w:t>
            </w:r>
          </w:p>
        </w:tc>
      </w:tr>
      <w:tr>
        <w:trPr>
          <w:cantSplit/>
        </w:trPr>
        <w:tc>
          <w:tcPr>
            <w:tcW w:type="dxa" w:w="192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盈亏</w:t>
            </w:r>
          </w:p>
        </w:tc>
        <w:tc>
          <w:tcPr>
            <w:tcW w:type="dxa" w:w="742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以 Variational 已实现 PnL 为权威值。</w:t>
            </w:r>
          </w:p>
        </w:tc>
      </w:tr>
    </w:tbl>
    <w:p>
      <w:pPr>
        <w:spacing w:after="0"/>
      </w:pPr>
    </w:p>
    <w:p>
      <w:pPr>
        <w:pStyle w:val="Heading2"/>
      </w:pPr>
      <w:r>
        <w:t>14.2 功能验收清单</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113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编号</w:t>
            </w:r>
          </w:p>
        </w:tc>
        <w:tc>
          <w:tcPr>
            <w:tcW w:type="dxa" w:w="822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验收条件</w:t>
            </w:r>
          </w:p>
        </w:tc>
      </w:tr>
      <w:tr>
        <w:trPr>
          <w:cantSplit/>
        </w:trPr>
        <w:tc>
          <w:tcPr>
            <w:tcW w:type="dxa" w:w="113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AC-01</w:t>
            </w:r>
          </w:p>
        </w:tc>
        <w:tc>
          <w:tcPr>
            <w:tcW w:type="dxa" w:w="822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能新增一个同时具备 Binance 永续和 CoinGlass Binance Heatmap 的币种；校验失败时不能保存。</w:t>
            </w:r>
          </w:p>
        </w:tc>
      </w:tr>
      <w:tr>
        <w:trPr>
          <w:cantSplit/>
        </w:trPr>
        <w:tc>
          <w:tcPr>
            <w:tcW w:type="dxa" w:w="113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AC-02</w:t>
            </w:r>
          </w:p>
        </w:tc>
        <w:tc>
          <w:tcPr>
            <w:tcW w:type="dxa" w:w="822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系统启动后先预热指标、对账 Variational，再自动进入下一根 15 分钟收盘扫描。</w:t>
            </w:r>
          </w:p>
        </w:tc>
      </w:tr>
      <w:tr>
        <w:trPr>
          <w:cantSplit/>
        </w:trPr>
        <w:tc>
          <w:tcPr>
            <w:tcW w:type="dxa" w:w="113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AC-03</w:t>
            </w:r>
          </w:p>
        </w:tc>
        <w:tc>
          <w:tcPr>
            <w:tcW w:type="dxa" w:w="822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默认策略必须同时满足 BTC 方向许可和四个核心条件才生成订单。</w:t>
            </w:r>
          </w:p>
        </w:tc>
      </w:tr>
      <w:tr>
        <w:trPr>
          <w:cantSplit/>
        </w:trPr>
        <w:tc>
          <w:tcPr>
            <w:tcW w:type="dxa" w:w="113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AC-04</w:t>
            </w:r>
          </w:p>
        </w:tc>
        <w:tc>
          <w:tcPr>
            <w:tcW w:type="dxa" w:w="822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同币同方向每 15 分钟最多一单，并严格执行默认 5 单综合上限。</w:t>
            </w:r>
          </w:p>
        </w:tc>
      </w:tr>
      <w:tr>
        <w:trPr>
          <w:cantSplit/>
        </w:trPr>
        <w:tc>
          <w:tcPr>
            <w:tcW w:type="dxa" w:w="113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AC-05</w:t>
            </w:r>
          </w:p>
        </w:tc>
        <w:tc>
          <w:tcPr>
            <w:tcW w:type="dxa" w:w="822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每笔订单使用 Binance 最新成交价，10 USDC/5×；平台最低额可提高至 20 USDC。</w:t>
            </w:r>
          </w:p>
        </w:tc>
      </w:tr>
      <w:tr>
        <w:trPr>
          <w:cantSplit/>
        </w:trPr>
        <w:tc>
          <w:tcPr>
            <w:tcW w:type="dxa" w:w="113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AC-06</w:t>
            </w:r>
          </w:p>
        </w:tc>
        <w:tc>
          <w:tcPr>
            <w:tcW w:type="dxa" w:w="822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止损按 1h 结构 + 0.5 ATR，止盈按最强 Heatmap 区，预期 RR 不低于 1.5。</w:t>
            </w:r>
          </w:p>
        </w:tc>
      </w:tr>
      <w:tr>
        <w:trPr>
          <w:cantSplit/>
        </w:trPr>
        <w:tc>
          <w:tcPr>
            <w:tcW w:type="dxa" w:w="113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AC-07</w:t>
            </w:r>
          </w:p>
        </w:tc>
        <w:tc>
          <w:tcPr>
            <w:tcW w:type="dxa" w:w="822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入场后 TP/SL 失败且已经成交时，自动市价平仓、暂停该币并通知。</w:t>
            </w:r>
          </w:p>
        </w:tc>
      </w:tr>
      <w:tr>
        <w:trPr>
          <w:cantSplit/>
        </w:trPr>
        <w:tc>
          <w:tcPr>
            <w:tcW w:type="dxa" w:w="113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AC-08</w:t>
            </w:r>
          </w:p>
        </w:tc>
        <w:tc>
          <w:tcPr>
            <w:tcW w:type="dxa" w:w="822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Variational 登录失效后停止所有真实订单，人工登录后不补历史信号。</w:t>
            </w:r>
          </w:p>
        </w:tc>
      </w:tr>
      <w:tr>
        <w:trPr>
          <w:cantSplit/>
        </w:trPr>
        <w:tc>
          <w:tcPr>
            <w:tcW w:type="dxa" w:w="113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AC-09</w:t>
            </w:r>
          </w:p>
        </w:tc>
        <w:tc>
          <w:tcPr>
            <w:tcW w:type="dxa" w:w="822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重启后本地状态与 Variational 对账一致，不产生重复订单。</w:t>
            </w:r>
          </w:p>
        </w:tc>
      </w:tr>
      <w:tr>
        <w:trPr>
          <w:cantSplit/>
        </w:trPr>
        <w:tc>
          <w:tcPr>
            <w:tcW w:type="dxa" w:w="113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AC-10</w:t>
            </w:r>
          </w:p>
        </w:tc>
        <w:tc>
          <w:tcPr>
            <w:tcW w:type="dxa" w:w="822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Telegram 失败重试 3 次后进入异常，异常期间通知丢弃，手动测试恢复。</w:t>
            </w:r>
          </w:p>
        </w:tc>
      </w:tr>
      <w:tr>
        <w:trPr>
          <w:cantSplit/>
        </w:trPr>
        <w:tc>
          <w:tcPr>
            <w:tcW w:type="dxa" w:w="113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AC-11</w:t>
            </w:r>
          </w:p>
        </w:tc>
        <w:tc>
          <w:tcPr>
            <w:tcW w:type="dxa" w:w="822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全局手动暂停能停止扫描、撤销未成交订单并保留已成交持仓。</w:t>
            </w:r>
          </w:p>
        </w:tc>
      </w:tr>
      <w:tr>
        <w:trPr>
          <w:cantSplit/>
        </w:trPr>
        <w:tc>
          <w:tcPr>
            <w:tcW w:type="dxa" w:w="113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AC-12</w:t>
            </w:r>
          </w:p>
        </w:tc>
        <w:tc>
          <w:tcPr>
            <w:tcW w:type="dxa" w:w="822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所有 Dashboard 时间固定为 UTC+8，K 线可显示信号、入场、TP、SL、Heatmap 区。</w:t>
            </w:r>
          </w:p>
        </w:tc>
      </w:tr>
    </w:tbl>
    <w:p>
      <w:pPr>
        <w:spacing w:after="0"/>
      </w:pPr>
    </w:p>
    <w:p>
      <w:pPr>
        <w:pStyle w:val="Heading1"/>
      </w:pPr>
      <w:r>
        <w:t>15. 开发阶段与交付顺序</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438"/>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阶段</w:t>
            </w:r>
          </w:p>
        </w:tc>
        <w:tc>
          <w:tcPr>
            <w:tcW w:type="dxa" w:w="6917"/>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交付内容</w:t>
            </w:r>
          </w:p>
        </w:tc>
      </w:tr>
      <w:tr>
        <w:trPr>
          <w:cantSplit/>
        </w:trPr>
        <w:tc>
          <w:tcPr>
            <w:tcW w:type="dxa" w:w="243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阶段 0：Variational 协议发现</w:t>
            </w:r>
          </w:p>
        </w:tc>
        <w:tc>
          <w:tcPr>
            <w:tcW w:type="dxa" w:w="691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完成登录态、读取接口、下单/TP/SL/撤单/平仓请求和会话失效机制的可复现实验。</w:t>
            </w:r>
          </w:p>
        </w:tc>
      </w:tr>
      <w:tr>
        <w:trPr>
          <w:cantSplit/>
        </w:trPr>
        <w:tc>
          <w:tcPr>
            <w:tcW w:type="dxa" w:w="243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阶段 1：工程骨架</w:t>
            </w:r>
          </w:p>
        </w:tc>
        <w:tc>
          <w:tcPr>
            <w:tcW w:type="dxa" w:w="691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建立 pnpm monorepo、PostgreSQL Schema、Docker Compose、健康检查和配置模块。</w:t>
            </w:r>
          </w:p>
        </w:tc>
      </w:tr>
      <w:tr>
        <w:trPr>
          <w:cantSplit/>
        </w:trPr>
        <w:tc>
          <w:tcPr>
            <w:tcW w:type="dxa" w:w="243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阶段 2：数据与指标</w:t>
            </w:r>
          </w:p>
        </w:tc>
        <w:tc>
          <w:tcPr>
            <w:tcW w:type="dxa" w:w="691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完成 Binance/CoinGlass 采集、启动预热、OI/CVD/Funding/Heatmap 快照和 BTC 状态。</w:t>
            </w:r>
          </w:p>
        </w:tc>
      </w:tr>
      <w:tr>
        <w:trPr>
          <w:cantSplit/>
        </w:trPr>
        <w:tc>
          <w:tcPr>
            <w:tcW w:type="dxa" w:w="243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阶段 3：策略引擎</w:t>
            </w:r>
          </w:p>
        </w:tc>
        <w:tc>
          <w:tcPr>
            <w:tcW w:type="dxa" w:w="691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完成策略模型、15 分钟时钟、默认四条件策略、Heatmap 入场/TP、SL 和 RR 检查。</w:t>
            </w:r>
          </w:p>
        </w:tc>
      </w:tr>
      <w:tr>
        <w:trPr>
          <w:cantSplit/>
        </w:trPr>
        <w:tc>
          <w:tcPr>
            <w:tcW w:type="dxa" w:w="243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阶段 4：执行与对账</w:t>
            </w:r>
          </w:p>
        </w:tc>
        <w:tc>
          <w:tcPr>
            <w:tcW w:type="dxa" w:w="691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实现 Variational Agent、幂等提交、TP/SL、30 秒轮询、启动对账和异常状态机。</w:t>
            </w:r>
          </w:p>
        </w:tc>
      </w:tr>
      <w:tr>
        <w:trPr>
          <w:cantSplit/>
        </w:trPr>
        <w:tc>
          <w:tcPr>
            <w:tcW w:type="dxa" w:w="243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阶段 5：Dashboard/Telegram</w:t>
            </w:r>
          </w:p>
        </w:tc>
        <w:tc>
          <w:tcPr>
            <w:tcW w:type="dxa" w:w="6917"/>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完成首页、币种/策略/设置/统计页面，Telegram 配置和故障流程。</w:t>
            </w:r>
          </w:p>
        </w:tc>
      </w:tr>
      <w:tr>
        <w:trPr>
          <w:cantSplit/>
        </w:trPr>
        <w:tc>
          <w:tcPr>
            <w:tcW w:type="dxa" w:w="243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阶段 6：真实资金验收</w:t>
            </w:r>
          </w:p>
        </w:tc>
        <w:tc>
          <w:tcPr>
            <w:tcW w:type="dxa" w:w="6917"/>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只使用白名单和小额仓位运行；按 AC-01～AC-12 逐项验收并记录问题。</w:t>
            </w:r>
          </w:p>
        </w:tc>
      </w:tr>
    </w:tbl>
    <w:p>
      <w:pPr>
        <w:spacing w:after="0"/>
      </w:pPr>
    </w:p>
    <w:p>
      <w:pPr>
        <w:pStyle w:val="Heading2"/>
      </w:pPr>
      <w:r>
        <w:t>15.1 开发优先级原则</w:t>
      </w:r>
    </w:p>
    <w:p>
      <w:pPr>
        <w:pStyle w:val="ListBullet"/>
        <w:spacing w:after="40" w:line="269" w:lineRule="auto"/>
      </w:pPr>
      <w:r>
        <w:rPr>
          <w:rFonts w:ascii="Noto Sans CJK SC" w:hAnsi="Noto Sans CJK SC" w:eastAsia="Noto Sans CJK SC"/>
          <w:color w:val="222222"/>
          <w:sz w:val="20"/>
        </w:rPr>
        <w:t>先证明 Variational 执行链路稳定，再开发完整 Dashboard 美化。</w:t>
      </w:r>
    </w:p>
    <w:p>
      <w:pPr>
        <w:pStyle w:val="ListBullet"/>
        <w:spacing w:after="40" w:line="269" w:lineRule="auto"/>
      </w:pPr>
      <w:r>
        <w:rPr>
          <w:rFonts w:ascii="Noto Sans CJK SC" w:hAnsi="Noto Sans CJK SC" w:eastAsia="Noto Sans CJK SC"/>
          <w:color w:val="222222"/>
          <w:sz w:val="20"/>
        </w:rPr>
        <w:t>先实现数据和订单可审计，再增加统计展示。</w:t>
      </w:r>
    </w:p>
    <w:p>
      <w:pPr>
        <w:pStyle w:val="ListBullet"/>
        <w:spacing w:after="40" w:line="269" w:lineRule="auto"/>
      </w:pPr>
      <w:r>
        <w:rPr>
          <w:rFonts w:ascii="Noto Sans CJK SC" w:hAnsi="Noto Sans CJK SC" w:eastAsia="Noto Sans CJK SC"/>
          <w:color w:val="222222"/>
          <w:sz w:val="20"/>
        </w:rPr>
        <w:t>任何无法确认平台状态的情况都不能通过“猜测成功”继续推进。</w:t>
      </w:r>
    </w:p>
    <w:p>
      <w:pPr>
        <w:pStyle w:val="ListBullet"/>
        <w:spacing w:after="40" w:line="269" w:lineRule="auto"/>
      </w:pPr>
      <w:r>
        <w:rPr>
          <w:rFonts w:ascii="Noto Sans CJK SC" w:hAnsi="Noto Sans CJK SC" w:eastAsia="Noto Sans CJK SC"/>
          <w:color w:val="222222"/>
          <w:sz w:val="20"/>
        </w:rPr>
        <w:t>第一版不为了未来产品化提前增加多租户、权限、复杂消息队列和云原生基础设施。</w:t>
      </w:r>
    </w:p>
    <w:p>
      <w:pPr>
        <w:pStyle w:val="Heading1"/>
      </w:pPr>
      <w:r>
        <w:t>附录 A. 固定参数表</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948"/>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参数</w:t>
            </w:r>
          </w:p>
        </w:tc>
        <w:tc>
          <w:tcPr>
            <w:tcW w:type="dxa" w:w="6406"/>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固定值</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扫描周期</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15 分钟 K 线收盘后</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Binance 过期阈值</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5 分钟</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CoinGlass Heatmap 过期阈值</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30 分钟</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Heatmap 刷新</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每次 15 分钟扫描前一次</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Heatmap 默认周期</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24 小时</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有效 Heatmap 区</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强度 Top 5 或 ≥80 百分位</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OI</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1h；30d Robust Z；|Z|≥1.0；最近 3 个 15m 至少 2 个同方向</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CVD</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15m；30d Robust Z；|Z|≥1.0；最近 3 个 5m 至少 2 个同方向</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Funding</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4h 绝对幅度变化；30d Robust Z；|Z|≥1.0；忽略符号</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ADX(14)</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≥25 趋势；≤18 震荡；18～25 过渡/沿用前态</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默认策略</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OI AND CVD AND Funding AND Heatmap</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默认保证金</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10 USDC</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最低订单调整上限</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20 USDC 保证金</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杠杆</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5×</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同币同方向上限</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5（挂单 + 持仓 + UNKNOWN）</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Swing 确认</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1h 反转 ≥1×ATR</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SL 缓冲</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0.5×1h ATR(14)</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TP 偏移</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0.15×1h ATR(14)</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最低预期 RR</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1.5</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保证金暂停/恢复</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80% / 75%</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Variational 状态轮询</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30 秒</w:t>
            </w:r>
          </w:p>
        </w:tc>
      </w:tr>
      <w:tr>
        <w:trPr>
          <w:cantSplit/>
        </w:trPr>
        <w:tc>
          <w:tcPr>
            <w:tcW w:type="dxa" w:w="2948"/>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Telegram 重试</w:t>
            </w:r>
          </w:p>
        </w:tc>
        <w:tc>
          <w:tcPr>
            <w:tcW w:type="dxa" w:w="6406"/>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3 次；固定间隔 10 秒</w:t>
            </w:r>
          </w:p>
        </w:tc>
      </w:tr>
      <w:tr>
        <w:trPr>
          <w:cantSplit/>
        </w:trPr>
        <w:tc>
          <w:tcPr>
            <w:tcW w:type="dxa" w:w="2948"/>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显示时区</w:t>
            </w:r>
          </w:p>
        </w:tc>
        <w:tc>
          <w:tcPr>
            <w:tcW w:type="dxa" w:w="6406"/>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UTC+8</w:t>
            </w:r>
          </w:p>
        </w:tc>
      </w:tr>
    </w:tbl>
    <w:p>
      <w:pPr>
        <w:spacing w:after="0"/>
      </w:pPr>
    </w:p>
    <w:p>
      <w:pPr>
        <w:pStyle w:val="Heading1"/>
      </w:pPr>
      <w:r>
        <w:t>附录 B. 关键事件与系统动作</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324"/>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事件</w:t>
            </w:r>
          </w:p>
        </w:tc>
        <w:tc>
          <w:tcPr>
            <w:tcW w:type="dxa" w:w="7030"/>
            <w:shd w:fill="17324D"/>
            <w:tcMar>
              <w:top w:w="95" w:type="dxa"/>
              <w:start w:w="100" w:type="dxa"/>
              <w:bottom w:w="95" w:type="dxa"/>
              <w:end w:w="100" w:type="dxa"/>
            </w:tcMar>
            <w:vAlign w:val="center"/>
          </w:tcPr>
          <w:p>
            <w:pPr>
              <w:spacing w:after="0"/>
              <w:jc w:val="center"/>
            </w:pPr>
            <w:r>
              <w:rPr>
                <w:rFonts w:ascii="Noto Sans CJK SC" w:hAnsi="Noto Sans CJK SC" w:eastAsia="Noto Sans CJK SC"/>
                <w:b/>
                <w:color w:val="FFFFFF"/>
                <w:sz w:val="18"/>
              </w:rPr>
              <w:t>动作</w:t>
            </w:r>
          </w:p>
        </w:tc>
      </w:tr>
      <w:tr>
        <w:trPr>
          <w:cantSplit/>
        </w:trPr>
        <w:tc>
          <w:tcPr>
            <w:tcW w:type="dxa" w:w="232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15 分钟收盘</w:t>
            </w:r>
          </w:p>
        </w:tc>
        <w:tc>
          <w:tcPr>
            <w:tcW w:type="dxa" w:w="703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刷新 Heatmap → 校验数据新鲜度 → 计算指标/BTC 状态 → 评估策略 → 风险检查 → 生成订单计划。</w:t>
            </w:r>
          </w:p>
        </w:tc>
      </w:tr>
      <w:tr>
        <w:trPr>
          <w:cantSplit/>
        </w:trPr>
        <w:tc>
          <w:tcPr>
            <w:tcW w:type="dxa" w:w="232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订单提交确认</w:t>
            </w:r>
          </w:p>
        </w:tc>
        <w:tc>
          <w:tcPr>
            <w:tcW w:type="dxa" w:w="703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平台响应或页面状态明确存在订单后，才进入 PENDING_ENTRY。</w:t>
            </w:r>
          </w:p>
        </w:tc>
      </w:tr>
      <w:tr>
        <w:trPr>
          <w:cantSplit/>
        </w:trPr>
        <w:tc>
          <w:tcPr>
            <w:tcW w:type="dxa" w:w="232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Variational 登录失效</w:t>
            </w:r>
          </w:p>
        </w:tc>
        <w:tc>
          <w:tcPr>
            <w:tcW w:type="dxa" w:w="703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停止真实下单；通知；分析可继续；所有期间信号不可补单。</w:t>
            </w:r>
          </w:p>
        </w:tc>
      </w:tr>
      <w:tr>
        <w:trPr>
          <w:cantSplit/>
        </w:trPr>
        <w:tc>
          <w:tcPr>
            <w:tcW w:type="dxa" w:w="232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TP/SL 首次创建失败</w:t>
            </w:r>
          </w:p>
        </w:tc>
        <w:tc>
          <w:tcPr>
            <w:tcW w:type="dxa" w:w="703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未成交则撤销入场；已成交则市价平仓、暂停币种、通知。</w:t>
            </w:r>
          </w:p>
        </w:tc>
      </w:tr>
      <w:tr>
        <w:trPr>
          <w:cantSplit/>
        </w:trPr>
        <w:tc>
          <w:tcPr>
            <w:tcW w:type="dxa" w:w="232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既有 TP/SL 消失</w:t>
            </w:r>
          </w:p>
        </w:tc>
        <w:tc>
          <w:tcPr>
            <w:tcW w:type="dxa" w:w="703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暂停币种并通知人工，不自动修复。</w:t>
            </w:r>
          </w:p>
        </w:tc>
      </w:tr>
      <w:tr>
        <w:trPr>
          <w:cantSplit/>
        </w:trPr>
        <w:tc>
          <w:tcPr>
            <w:tcW w:type="dxa" w:w="232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用户在 Variational 手动操作</w:t>
            </w:r>
          </w:p>
        </w:tc>
        <w:tc>
          <w:tcPr>
            <w:tcW w:type="dxa" w:w="703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以平台为准更新本地，并发送对应通知。</w:t>
            </w:r>
          </w:p>
        </w:tc>
      </w:tr>
      <w:tr>
        <w:trPr>
          <w:cantSplit/>
        </w:trPr>
        <w:tc>
          <w:tcPr>
            <w:tcW w:type="dxa" w:w="232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系统重启</w:t>
            </w:r>
          </w:p>
        </w:tc>
        <w:tc>
          <w:tcPr>
            <w:tcW w:type="dxa" w:w="703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对账 → 拉取历史预热 → 自动恢复（会话有效时）→ 等待下一根完整 15 分钟 K 线。</w:t>
            </w:r>
          </w:p>
        </w:tc>
      </w:tr>
      <w:tr>
        <w:trPr>
          <w:cantSplit/>
        </w:trPr>
        <w:tc>
          <w:tcPr>
            <w:tcW w:type="dxa" w:w="232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单币数据异常</w:t>
            </w:r>
          </w:p>
        </w:tc>
        <w:tc>
          <w:tcPr>
            <w:tcW w:type="dxa" w:w="703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暂停该币；只能手动恢复。</w:t>
            </w:r>
          </w:p>
        </w:tc>
      </w:tr>
      <w:tr>
        <w:trPr>
          <w:cantSplit/>
        </w:trPr>
        <w:tc>
          <w:tcPr>
            <w:tcW w:type="dxa" w:w="2324"/>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全局手动暂停</w:t>
            </w:r>
          </w:p>
        </w:tc>
        <w:tc>
          <w:tcPr>
            <w:tcW w:type="dxa" w:w="7030"/>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停止扫描/下单；撤销未成交；持仓继续管理。</w:t>
            </w:r>
          </w:p>
        </w:tc>
      </w:tr>
      <w:tr>
        <w:trPr>
          <w:cantSplit/>
        </w:trPr>
        <w:tc>
          <w:tcPr>
            <w:tcW w:type="dxa" w:w="2324"/>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Telegram 3 次失败</w:t>
            </w:r>
          </w:p>
        </w:tc>
        <w:tc>
          <w:tcPr>
            <w:tcW w:type="dxa" w:w="7030"/>
            <w:shd w:fill="F6F8FA"/>
            <w:tcMar>
              <w:top w:w="85" w:type="dxa"/>
              <w:start w:w="95" w:type="dxa"/>
              <w:bottom w:w="85" w:type="dxa"/>
              <w:end w:w="95" w:type="dxa"/>
            </w:tcMar>
            <w:vAlign w:val="top"/>
          </w:tcPr>
          <w:p>
            <w:pPr>
              <w:spacing w:after="0" w:line="259" w:lineRule="auto"/>
            </w:pPr>
            <w:r>
              <w:rPr>
                <w:rFonts w:ascii="Noto Sans CJK SC" w:hAnsi="Noto Sans CJK SC" w:eastAsia="Noto Sans CJK SC"/>
                <w:color w:val="222222"/>
                <w:sz w:val="18"/>
              </w:rPr>
              <w:t>服务异常；暂停发送；异常期间通知丢弃；手动重新测试恢复。</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EAF7EE"/>
            <w:tcBorders>
              <w:top w:val="single" w:sz="8" w:color="2F855A"/>
              <w:left w:val="single" w:sz="8" w:color="2F855A"/>
              <w:bottom w:val="single" w:sz="8" w:color="2F855A"/>
              <w:right w:val="single" w:sz="8" w:color="2F855A"/>
            </w:tcBorders>
            <w:tcMar>
              <w:top w:w="130" w:type="dxa"/>
              <w:start w:w="160" w:type="dxa"/>
              <w:bottom w:w="130" w:type="dxa"/>
              <w:end w:w="160" w:type="dxa"/>
            </w:tcMar>
          </w:tcPr>
          <w:p>
            <w:pPr>
              <w:spacing w:after="0" w:line="269" w:lineRule="auto"/>
            </w:pPr>
            <w:r>
              <w:rPr>
                <w:rFonts w:ascii="Noto Sans CJK SC" w:hAnsi="Noto Sans CJK SC" w:eastAsia="Noto Sans CJK SC"/>
                <w:b/>
                <w:color w:val="17324D"/>
                <w:sz w:val="21"/>
              </w:rPr>
              <w:t>文档结论</w:t>
            </w:r>
            <w:r>
              <w:rPr>
                <w:rFonts w:ascii="Noto Sans CJK SC" w:hAnsi="Noto Sans CJK SC" w:eastAsia="Noto Sans CJK SC"/>
                <w:color w:val="26323E"/>
                <w:sz w:val="20"/>
              </w:rPr>
              <w:br/>
              <w:t>产品目标、数据口径、策略条件、交易规则、异常处理、技术栈和部署方式均已冻结。开发应从“阶段 0：Variational 协议发现”开始；未经该阶段验证，不进入真实下单执行器的正式实现。</w:t>
            </w:r>
          </w:p>
        </w:tc>
      </w:tr>
    </w:tbl>
    <w:p>
      <w:pPr>
        <w:spacing w:after="0"/>
      </w:pPr>
    </w:p>
    <w:sectPr w:rsidR="00FC693F" w:rsidRPr="0006063C" w:rsidSect="00034616">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B6CB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加密市场分析与 Variational 自动交易系统 - 需求规格说明书 V1.0</dc:title>
  <dc:subject>个人真实资金内测版产品需求与技术实施规格</dc:subject>
  <dc:creator>Hux / OpenAI</dc:creator>
  <cp:keywords>Binance, CoinGlass, Variational, TypeScript, 自动交易, PRD</cp:keywords>
  <dc:description>需求冻结版，2026-08-04 UTC+8</dc:description>
  <cp:lastModifiedBy/>
  <cp:revision>1</cp:revision>
  <dcterms:created xsi:type="dcterms:W3CDTF">2013-12-23T23:15:00Z</dcterms:created>
  <dcterms:modified xsi:type="dcterms:W3CDTF">2013-12-23T23:15:00Z</dcterms:modified>
  <cp:category/>
</cp:coreProperties>
</file>