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Calibri" w:cs="Calibri" w:eastAsia="Calibri" w:hAnsi="Calibri"/>
          <w:b/>
          <w:bCs/>
          <w:caps/>
          <w:color w:val="C9A84C"/>
          <w:sz w:val="56"/>
          <w:szCs w:val="56"/>
        </w:rPr>
        <w:t xml:space="preserve">⬡  HATHOR ROYAL CASINO</w:t>
      </w:r>
    </w:p>
    <w:p>
      <w:pPr>
        <w:spacing w:after="40" w:before="0"/>
        <w:jc w:val="center"/>
      </w:pPr>
      <w:r>
        <w:rPr>
          <w:rFonts w:ascii="Calibri" w:cs="Calibri" w:eastAsia="Calibri" w:hAnsi="Calibri"/>
          <w:i/>
          <w:iCs/>
          <w:color w:val="666644"/>
          <w:sz w:val="26"/>
          <w:szCs w:val="26"/>
        </w:rPr>
        <w:t xml:space="preserve">Gaming License Application — Business Description</w:t>
      </w:r>
    </w:p>
    <w:p>
      <w:pPr>
        <w:pBdr>
          <w:bottom w:val="single" w:color="C9A84C" w:sz="3" w:space="6"/>
        </w:pBdr>
        <w:spacing w:after="360" w:before="0"/>
        <w:jc w:val="center"/>
      </w:pPr>
      <w:r>
        <w:rPr>
          <w:rFonts w:ascii="Calibri" w:cs="Calibri" w:eastAsia="Calibri" w:hAnsi="Calibri"/>
          <w:color w:val="999977"/>
          <w:sz w:val="20"/>
          <w:szCs w:val="20"/>
        </w:rPr>
        <w:t xml:space="preserve">Anjouan Online Gaming Commission  ·  April 2026</w:t>
      </w:r>
    </w:p>
    <w:p>
      <w:pPr>
        <w:spacing w:after="0" w:before="240"/>
      </w:pPr>
    </w:p>
    <w:p>
      <w:pPr>
        <w:pBdr>
          <w:bottom w:val="single" w:color="C9A84C" w:sz="4" w:space="4"/>
        </w:pBdr>
        <w:spacing w:after="120" w:before="360"/>
      </w:pPr>
      <w:r>
        <w:rPr>
          <w:rFonts w:ascii="Calibri" w:cs="Calibri" w:eastAsia="Calibri" w:hAnsi="Calibri"/>
          <w:b/>
          <w:bCs/>
          <w:caps/>
          <w:color w:val="1A1A1A"/>
          <w:spacing w:val="40"/>
          <w:sz w:val="28"/>
          <w:szCs w:val="28"/>
        </w:rPr>
        <w:t xml:space="preserve">1. Company Information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Company Name</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HATHOR Royal Ltd.</w:t>
            </w:r>
          </w:p>
        </w:tc>
      </w:tr>
      <w:tr>
        <w:tc>
          <w:tcPr>
            <w:tcW w:type="dxa" w:w="3000"/>
            <w:tcBorders>
              <w:top w:val="none" w:color="FFFFFF" w:sz="0"/>
              <w:left w:val="none" w:color="FFFFFF" w:sz="0"/>
              <w:bottom w:val="single" w:color="E8E0CC" w:sz="1"/>
              <w:right w:val="none" w:color="FFFFFF" w:sz="0"/>
            </w:tcBorders>
            <w:shd w:fill="FFF8E8" w:val="clear"/>
            <w:tcMar>
              <w:top w:type="dxa" w:w="80"/>
              <w:left w:type="dxa" w:w="120"/>
              <w:bottom w:type="dxa" w:w="80"/>
              <w:right w:type="dxa" w:w="120"/>
            </w:tcMar>
          </w:tcPr>
          <w:p>
            <w:r>
              <w:rPr>
                <w:rFonts w:ascii="Calibri" w:cs="Calibri" w:eastAsia="Calibri" w:hAnsi="Calibri"/>
                <w:b/>
                <w:bCs/>
                <w:color w:val="555533"/>
                <w:sz w:val="20"/>
                <w:szCs w:val="20"/>
              </w:rPr>
              <w:t xml:space="preserve">Registered Address</w:t>
            </w:r>
          </w:p>
        </w:tc>
        <w:tc>
          <w:tcPr>
            <w:tcW w:type="dxa" w:w="6360"/>
            <w:tcBorders>
              <w:top w:val="none" w:color="FFFFFF" w:sz="0"/>
              <w:left w:val="none" w:color="FFFFFF" w:sz="0"/>
              <w:bottom w:val="single" w:color="E8E0CC" w:sz="1"/>
              <w:right w:val="none" w:color="FFFFFF" w:sz="0"/>
            </w:tcBorders>
            <w:shd w:fill="FFF8E8" w:val="clear"/>
            <w:tcMar>
              <w:top w:type="dxa" w:w="80"/>
              <w:left w:type="dxa" w:w="160"/>
              <w:bottom w:type="dxa" w:w="80"/>
              <w:right w:type="dxa" w:w="120"/>
            </w:tcMar>
          </w:tcPr>
          <w:p>
            <w:r>
              <w:rPr>
                <w:rFonts w:ascii="Calibri" w:cs="Calibri" w:eastAsia="Calibri" w:hAnsi="Calibri"/>
                <w:i/>
                <w:iCs/>
                <w:color w:val="AA8822"/>
                <w:sz w:val="20"/>
                <w:szCs w:val="20"/>
              </w:rPr>
              <w:t xml:space="preserve">[TO BE FILLED BY APPLICANT]</w:t>
            </w:r>
          </w:p>
        </w:tc>
      </w:tr>
      <w:tr>
        <w:tc>
          <w:tcPr>
            <w:tcW w:type="dxa" w:w="3000"/>
            <w:tcBorders>
              <w:top w:val="none" w:color="FFFFFF" w:sz="0"/>
              <w:left w:val="none" w:color="FFFFFF" w:sz="0"/>
              <w:bottom w:val="single" w:color="E8E0CC" w:sz="1"/>
              <w:right w:val="none" w:color="FFFFFF" w:sz="0"/>
            </w:tcBorders>
            <w:shd w:fill="FFF8E8" w:val="clear"/>
            <w:tcMar>
              <w:top w:type="dxa" w:w="80"/>
              <w:left w:type="dxa" w:w="120"/>
              <w:bottom w:type="dxa" w:w="80"/>
              <w:right w:type="dxa" w:w="120"/>
            </w:tcMar>
          </w:tcPr>
          <w:p>
            <w:r>
              <w:rPr>
                <w:rFonts w:ascii="Calibri" w:cs="Calibri" w:eastAsia="Calibri" w:hAnsi="Calibri"/>
                <w:b/>
                <w:bCs/>
                <w:color w:val="555533"/>
                <w:sz w:val="20"/>
                <w:szCs w:val="20"/>
              </w:rPr>
              <w:t xml:space="preserve">Director(s)</w:t>
            </w:r>
          </w:p>
        </w:tc>
        <w:tc>
          <w:tcPr>
            <w:tcW w:type="dxa" w:w="6360"/>
            <w:tcBorders>
              <w:top w:val="none" w:color="FFFFFF" w:sz="0"/>
              <w:left w:val="none" w:color="FFFFFF" w:sz="0"/>
              <w:bottom w:val="single" w:color="E8E0CC" w:sz="1"/>
              <w:right w:val="none" w:color="FFFFFF" w:sz="0"/>
            </w:tcBorders>
            <w:shd w:fill="FFF8E8" w:val="clear"/>
            <w:tcMar>
              <w:top w:type="dxa" w:w="80"/>
              <w:left w:type="dxa" w:w="160"/>
              <w:bottom w:type="dxa" w:w="80"/>
              <w:right w:type="dxa" w:w="120"/>
            </w:tcMar>
          </w:tcPr>
          <w:p>
            <w:r>
              <w:rPr>
                <w:rFonts w:ascii="Calibri" w:cs="Calibri" w:eastAsia="Calibri" w:hAnsi="Calibri"/>
                <w:i/>
                <w:iCs/>
                <w:color w:val="AA8822"/>
                <w:sz w:val="20"/>
                <w:szCs w:val="20"/>
              </w:rPr>
              <w:t xml:space="preserve">[TO BE FILLED BY APPLICANT]</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Contact Email</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support@hathor.casino</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Website</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hathor.casino</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Platform Domain</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https://hathor.casino</w:t>
            </w:r>
          </w:p>
        </w:tc>
      </w:tr>
    </w:tbl>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2. Business Description</w:t>
      </w:r>
    </w:p>
    <w:p>
      <w:pPr>
        <w:spacing w:after="0" w:before="80"/>
      </w:pPr>
    </w:p>
    <w:p>
      <w:pPr>
        <w:spacing w:after="120" w:before="80"/>
      </w:pPr>
      <w:r>
        <w:rPr>
          <w:rFonts w:ascii="Calibri" w:cs="Calibri" w:eastAsia="Calibri" w:hAnsi="Calibri"/>
          <w:color w:val="333333"/>
          <w:sz w:val="20"/>
          <w:szCs w:val="20"/>
        </w:rPr>
        <w:t xml:space="preserve">HATHOR Royal Casino is a premium online casino platform built and operated by HATHOR Royal Ltd. The platform operates on a virtual token system (1 EUR = 100 tokens), providing entertainment-focused online gaming services to adult players (18+) worldwide. All games use cryptographically secure server-side random number generation with a provably fair verification system, ensuring full transparency and player trust.</w:t>
      </w:r>
    </w:p>
    <w:p>
      <w:pPr>
        <w:spacing w:after="120" w:before="80"/>
      </w:pPr>
      <w:r>
        <w:rPr>
          <w:rFonts w:ascii="Calibri" w:cs="Calibri" w:eastAsia="Calibri" w:hAnsi="Calibri"/>
          <w:color w:val="333333"/>
          <w:sz w:val="20"/>
          <w:szCs w:val="20"/>
        </w:rPr>
        <w:t xml:space="preserve">The casino offers a diverse portfolio of 17 unique games across 6 categories, supporting 11 languages and accepting both cryptocurrency and card payments. HATHOR Royal Casino is fully committed to responsible gambling practices, KYC/AML compliance, and GDPR-compliant data protection.</w:t>
      </w:r>
    </w:p>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3. Games Offered  (17 unique games)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Slots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Classic Slot Machine; NEXUS SLOTS — 3D premium slot experience</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Crash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Dragon Crash — multiplier crash game</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Table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Blackjack (standard 21); Baccarat (punto banco); Roulette (European single zero)</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Card &amp; Dice</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HiLo — predict higher or lower; Video Poker — Jacks or Better</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Strategy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Mines — pick safe tiles; Dragon Tower — tower climbing game</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Number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Keno — 20-number draw; Limbo — target multiplier; Plinko — ball drop; Dice — roll over/under</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Wheel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NEXUS WHEEL — 3D spinning wheel with multipliers; Coin Flip</w:t>
            </w:r>
          </w:p>
        </w:tc>
      </w:tr>
    </w:tbl>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4. Technical Infrastructure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Platform</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Custom-built proprietary software</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Hosting</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Railway.app (cloud infrastructure, 99.9% uptime SLA)</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RNG</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Cryptographically secure server-side random number generation</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Currency</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Virtual tokens — no real money gambling</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Languages</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11: English, Lithuanian, Russian, German, Polish, French, Turkish, Arabic, Chinese, Hindi, Ukrainian</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Payment Processing</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Cryptocurrency via NowPayments; Card payments via Stripe</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Backend</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Node.js + Express; SQLite database</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Security</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HTTPS, token-based auth, rate limiting, DDoS protection</w:t>
            </w:r>
          </w:p>
        </w:tc>
      </w:tr>
    </w:tbl>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5. Compliance &amp; Player Protection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AML / KYC Policy</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Full KYC verification required before any withdrawal. Documents verified within 48 hours.</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Responsible Gambling</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Self-exclusion, deposit limits, and reality checks available to all players.</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Age Verification</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Mandatory 18+ verification for all players upon registration.</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Restricted Jurisdictions</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USA, United Kingdom, France, Netherlands, Spain, Italy, Belgium, Australia.</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Data Protection</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GDPR compliant. Full Privacy Policy and Data Processing agreements in place.</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Governing Law</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Anjouan, Union of Comoros.</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Policies Published</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Terms &amp; Conditions, Privacy Policy, AML Policy, Responsible Gambling Policy — all publicly accessible on the platform.</w:t>
            </w:r>
          </w:p>
        </w:tc>
      </w:tr>
    </w:tbl>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6. Target Markets</w:t>
      </w:r>
    </w:p>
    <w:p>
      <w:pPr>
        <w:spacing w:after="0" w:before="80"/>
      </w:pPr>
    </w:p>
    <w:p>
      <w:pPr>
        <w:spacing w:after="120" w:before="80"/>
      </w:pPr>
      <w:r>
        <w:rPr>
          <w:rFonts w:ascii="Calibri" w:cs="Calibri" w:eastAsia="Calibri" w:hAnsi="Calibri"/>
          <w:color w:val="333333"/>
          <w:sz w:val="20"/>
          <w:szCs w:val="20"/>
        </w:rPr>
        <w:t xml:space="preserve">HATHOR Royal Casino primarily targets players in the following regions:</w:t>
      </w:r>
    </w:p>
    <w:p>
      <w:pPr>
        <w:spacing w:after="0" w:before="40"/>
      </w:pPr>
    </w:p>
    <w:p>
      <w:pPr>
        <w:pStyle w:val="ListParagraph"/>
        <w:numPr>
          <w:ilvl w:val="0"/>
          <w:numId w:val="2"/>
        </w:numPr>
        <w:spacing w:after="40" w:before="40"/>
      </w:pPr>
      <w:r>
        <w:rPr>
          <w:rFonts w:ascii="Calibri" w:cs="Calibri" w:eastAsia="Calibri" w:hAnsi="Calibri"/>
          <w:color w:val="333333"/>
          <w:sz w:val="20"/>
          <w:szCs w:val="20"/>
        </w:rPr>
        <w:t xml:space="preserve">Eastern Europe (Lithuania, Latvia, Estonia, Ukraine, Romania, Bulgaria)</w:t>
      </w:r>
    </w:p>
    <w:p>
      <w:pPr>
        <w:pStyle w:val="ListParagraph"/>
        <w:numPr>
          <w:ilvl w:val="0"/>
          <w:numId w:val="2"/>
        </w:numPr>
        <w:spacing w:after="40" w:before="40"/>
      </w:pPr>
      <w:r>
        <w:rPr>
          <w:rFonts w:ascii="Calibri" w:cs="Calibri" w:eastAsia="Calibri" w:hAnsi="Calibri"/>
          <w:color w:val="333333"/>
          <w:sz w:val="20"/>
          <w:szCs w:val="20"/>
        </w:rPr>
        <w:t xml:space="preserve">CIS Countries (Russia, Kazakhstan, Georgia, Armenia, Azerbaijan)</w:t>
      </w:r>
    </w:p>
    <w:p>
      <w:pPr>
        <w:pStyle w:val="ListParagraph"/>
        <w:numPr>
          <w:ilvl w:val="0"/>
          <w:numId w:val="2"/>
        </w:numPr>
        <w:spacing w:after="40" w:before="40"/>
      </w:pPr>
      <w:r>
        <w:rPr>
          <w:rFonts w:ascii="Calibri" w:cs="Calibri" w:eastAsia="Calibri" w:hAnsi="Calibri"/>
          <w:color w:val="333333"/>
          <w:sz w:val="20"/>
          <w:szCs w:val="20"/>
        </w:rPr>
        <w:t xml:space="preserve">Asia (India, Vietnam, Thailand, Philippines, Bangladesh)</w:t>
      </w:r>
    </w:p>
    <w:p>
      <w:pPr>
        <w:pStyle w:val="ListParagraph"/>
        <w:numPr>
          <w:ilvl w:val="0"/>
          <w:numId w:val="2"/>
        </w:numPr>
        <w:spacing w:after="40" w:before="40"/>
      </w:pPr>
      <w:r>
        <w:rPr>
          <w:rFonts w:ascii="Calibri" w:cs="Calibri" w:eastAsia="Calibri" w:hAnsi="Calibri"/>
          <w:color w:val="333333"/>
          <w:sz w:val="20"/>
          <w:szCs w:val="20"/>
        </w:rPr>
        <w:t xml:space="preserve">Middle East (Gulf states, Turkey, Egypt)</w:t>
      </w:r>
    </w:p>
    <w:p>
      <w:pPr>
        <w:pStyle w:val="ListParagraph"/>
        <w:numPr>
          <w:ilvl w:val="0"/>
          <w:numId w:val="2"/>
        </w:numPr>
        <w:spacing w:after="40" w:before="40"/>
      </w:pPr>
      <w:r>
        <w:rPr>
          <w:rFonts w:ascii="Calibri" w:cs="Calibri" w:eastAsia="Calibri" w:hAnsi="Calibri"/>
          <w:color w:val="333333"/>
          <w:sz w:val="20"/>
          <w:szCs w:val="20"/>
        </w:rPr>
        <w:t xml:space="preserve">Latin America (Brazil, Mexico, Colombia, Argentina)</w:t>
      </w:r>
    </w:p>
    <w:p>
      <w:pPr>
        <w:spacing w:after="0" w:before="120"/>
      </w:pPr>
    </w:p>
    <w:p>
      <w:pPr>
        <w:spacing w:after="120" w:before="80"/>
      </w:pPr>
      <w:r>
        <w:rPr>
          <w:rFonts w:ascii="Calibri" w:cs="Calibri" w:eastAsia="Calibri" w:hAnsi="Calibri"/>
          <w:i/>
          <w:iCs/>
          <w:color w:val="666666"/>
          <w:sz w:val="20"/>
          <w:szCs w:val="20"/>
        </w:rPr>
        <w:t xml:space="preserve">All marketing and player acquisition activities will be conducted in full compliance with Anjouan Online Gaming Commission requirements and applicable local laws. Players from restricted jurisdictions are blocked at the platform level.</w:t>
      </w:r>
    </w:p>
    <w:p>
      <w:pPr>
        <w:spacing w:after="0" w:before="280"/>
      </w:pPr>
    </w:p>
    <w:p>
      <w:pPr>
        <w:pBdr>
          <w:top w:val="single" w:color="CCCCAA" w:sz="2" w:space="4"/>
        </w:pBdr>
        <w:spacing w:after="80" w:before="200"/>
      </w:pPr>
      <w:r>
        <w:rPr>
          <w:rFonts w:ascii="Calibri" w:cs="Calibri" w:eastAsia="Calibri" w:hAnsi="Calibri"/>
          <w:b/>
          <w:bCs/>
          <w:color w:val="444422"/>
          <w:sz w:val="22"/>
          <w:szCs w:val="22"/>
        </w:rPr>
        <w:t xml:space="preserve">Declaration</w:t>
      </w:r>
    </w:p>
    <w:p>
      <w:pPr>
        <w:spacing w:after="120" w:before="80"/>
      </w:pPr>
      <w:r>
        <w:rPr>
          <w:rFonts w:ascii="Calibri" w:cs="Calibri" w:eastAsia="Calibri" w:hAnsi="Calibri"/>
          <w:color w:val="333333"/>
          <w:sz w:val="20"/>
          <w:szCs w:val="20"/>
        </w:rPr>
        <w:t xml:space="preserve">I hereby declare that all information provided in this application is true, accurate, and complete to the best of my knowledge. HATHOR Royal Ltd. commits to full compliance with Anjouan Online Gaming Commission regulations and all applicable laws.</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single" w:color="333333" w:sz="1"/>
              <w:right w:val="none" w:color="FFFFFF" w:sz="0"/>
            </w:tcBorders>
            <w:tcMar>
              <w:top w:type="dxa" w:w="40"/>
              <w:left w:type="dxa" w:w="0"/>
              <w:bottom w:type="dxa" w:w="40"/>
              <w:right w:type="dxa" w:w="0"/>
            </w:tcMar>
          </w:tcPr>
          <w:p>
            <w:pPr>
              <w:spacing w:after="120" w:before="80"/>
            </w:pPr>
            <w:r>
              <w:rPr>
                <w:rFonts w:ascii="Calibri" w:cs="Calibri" w:eastAsia="Calibri" w:hAnsi="Calibri"/>
                <w:color w:val="333333"/>
                <w:sz w:val="20"/>
                <w:szCs w:val="20"/>
              </w:rPr>
              <w:t xml:space="preserve"> </w:t>
            </w:r>
          </w:p>
          <w:p>
            <w:pPr>
              <w:spacing w:after="120" w:before="80"/>
            </w:pPr>
            <w:r>
              <w:rPr>
                <w:rFonts w:ascii="Calibri" w:cs="Calibri" w:eastAsia="Calibri" w:hAnsi="Calibri"/>
                <w:color w:val="888888"/>
                <w:sz w:val="18"/>
                <w:szCs w:val="18"/>
              </w:rPr>
              <w:t xml:space="preserve">Signature &amp; Stamp</w:t>
            </w:r>
          </w:p>
        </w:tc>
        <w:tc>
          <w:tcPr>
            <w:tcW w:type="dxa" w:w="4860"/>
            <w:tcBorders>
              <w:top w:val="none" w:color="FFFFFF" w:sz="0"/>
              <w:left w:val="none" w:color="FFFFFF" w:sz="0"/>
              <w:bottom w:val="single" w:color="333333" w:sz="1"/>
              <w:right w:val="none" w:color="FFFFFF" w:sz="0"/>
            </w:tcBorders>
            <w:tcMar>
              <w:top w:type="dxa" w:w="40"/>
              <w:left w:type="dxa" w:w="120"/>
              <w:bottom w:type="dxa" w:w="40"/>
              <w:right w:type="dxa" w:w="0"/>
            </w:tcMar>
          </w:tcPr>
          <w:p>
            <w:pPr>
              <w:spacing w:after="120" w:before="80"/>
            </w:pPr>
            <w:r>
              <w:rPr>
                <w:rFonts w:ascii="Calibri" w:cs="Calibri" w:eastAsia="Calibri" w:hAnsi="Calibri"/>
                <w:color w:val="333333"/>
                <w:sz w:val="20"/>
                <w:szCs w:val="20"/>
              </w:rPr>
              <w:t xml:space="preserve"> </w:t>
            </w:r>
          </w:p>
          <w:p>
            <w:pPr>
              <w:spacing w:after="120" w:before="80"/>
            </w:pPr>
            <w:r>
              <w:rPr>
                <w:rFonts w:ascii="Calibri" w:cs="Calibri" w:eastAsia="Calibri" w:hAnsi="Calibri"/>
                <w:color w:val="888888"/>
                <w:sz w:val="18"/>
                <w:szCs w:val="18"/>
              </w:rPr>
              <w:t xml:space="preserve">Date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3" w:space="4"/>
      </w:pBdr>
      <w:spacing w:before="80"/>
      <w:jc w:val="center"/>
    </w:pPr>
    <w:r>
      <w:rPr>
        <w:rFonts w:ascii="Calibri" w:cs="Calibri" w:eastAsia="Calibri" w:hAnsi="Calibri"/>
        <w:color w:val="AAAAAA"/>
        <w:sz w:val="16"/>
        <w:szCs w:val="16"/>
      </w:rPr>
      <w:t xml:space="preserve">CONFIDENTIAL · HATHOR Royal Ltd. · hathor.casino · Page </w:t>
    </w:r>
    <w:r>
      <w:rPr>
        <w:rFonts w:ascii="Calibri" w:cs="Calibri" w:eastAsia="Calibri" w:hAnsi="Calibri"/>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3" w:space="4"/>
      </w:pBdr>
      <w:spacing w:after="80" w:before="0"/>
    </w:pPr>
    <w:r>
      <w:rPr>
        <w:rFonts w:ascii="Calibri" w:cs="Calibri" w:eastAsia="Calibri" w:hAnsi="Calibri"/>
        <w:b/>
        <w:bCs/>
        <w:caps/>
        <w:color w:val="C9A84C"/>
        <w:sz w:val="18"/>
        <w:szCs w:val="18"/>
      </w:rPr>
      <w:t xml:space="preserve">HATHOR ROYAL CASINO</w:t>
    </w:r>
    <w:r>
      <w:rPr>
        <w:rFonts w:ascii="Calibri" w:cs="Calibri" w:eastAsia="Calibri" w:hAnsi="Calibri"/>
        <w:color w:val="888888"/>
        <w:sz w:val="18"/>
        <w:szCs w:val="18"/>
      </w:rPr>
      <w:t xml:space="preserve">  —  Gaming License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2026-04-14T05:53:35.550Z</dcterms:created>
  <dcterms:modified xsi:type="dcterms:W3CDTF">2026-04-14T05:53:35.551Z</dcterms:modified>
</cp:coreProperties>
</file>

<file path=docProps/custom.xml><?xml version="1.0" encoding="utf-8"?>
<Properties xmlns="http://schemas.openxmlformats.org/officeDocument/2006/custom-properties" xmlns:vt="http://schemas.openxmlformats.org/officeDocument/2006/docPropsVTypes"/>
</file>