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60" w:before="0"/>
        <w:jc w:val="center"/>
      </w:pPr>
      <w:r>
        <w:rPr>
          <w:rFonts w:ascii="Calibri" w:cs="Calibri" w:eastAsia="Calibri" w:hAnsi="Calibri"/>
          <w:b/>
          <w:bCs/>
          <w:caps/>
          <w:color w:val="C9A84C"/>
          <w:sz w:val="56"/>
          <w:szCs w:val="56"/>
        </w:rPr>
        <w:t xml:space="preserve">⬡  HATHOR ROYAL CASINO</w:t>
      </w:r>
    </w:p>
    <w:p>
      <w:pPr>
        <w:spacing w:after="40" w:before="0"/>
        <w:jc w:val="center"/>
      </w:pPr>
      <w:r>
        <w:rPr>
          <w:rFonts w:ascii="Calibri" w:cs="Calibri" w:eastAsia="Calibri" w:hAnsi="Calibri"/>
          <w:i/>
          <w:iCs/>
          <w:color w:val="666644"/>
          <w:sz w:val="26"/>
          <w:szCs w:val="26"/>
        </w:rPr>
        <w:t xml:space="preserve">Gaming License Application — Business Description</w:t>
      </w:r>
    </w:p>
    <w:p>
      <w:pPr>
        <w:pBdr>
          <w:bottom w:val="single" w:color="C9A84C" w:sz="3" w:space="6"/>
        </w:pBdr>
        <w:spacing w:after="360" w:before="0"/>
        <w:jc w:val="center"/>
      </w:pPr>
      <w:r>
        <w:rPr>
          <w:rFonts w:ascii="Calibri" w:cs="Calibri" w:eastAsia="Calibri" w:hAnsi="Calibri"/>
          <w:color w:val="999977"/>
          <w:sz w:val="20"/>
          <w:szCs w:val="20"/>
        </w:rPr>
        <w:t xml:space="preserve">Anjouan Online Gaming Commission  ·  2026</w:t>
      </w:r>
    </w:p>
    <w:p>
      <w:pPr>
        <w:spacing w:after="0" w:before="240"/>
      </w:pPr>
    </w:p>
    <w:p>
      <w:pPr>
        <w:pBdr>
          <w:bottom w:val="single" w:color="C9A84C" w:sz="4" w:space="4"/>
        </w:pBdr>
        <w:spacing w:after="120" w:before="360"/>
      </w:pPr>
      <w:r>
        <w:rPr>
          <w:rFonts w:ascii="Calibri" w:cs="Calibri" w:eastAsia="Calibri" w:hAnsi="Calibri"/>
          <w:b/>
          <w:bCs/>
          <w:caps/>
          <w:color w:val="1A1A1A"/>
          <w:spacing w:val="40"/>
          <w:sz w:val="28"/>
          <w:szCs w:val="28"/>
        </w:rPr>
        <w:t xml:space="preserve">1. Company Information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Company Name</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HATHOR Royal Ltd.</w:t>
            </w:r>
          </w:p>
        </w:tc>
      </w:tr>
      <w:tr>
        <w:tc>
          <w:tcPr>
            <w:tcW w:type="dxa" w:w="3000"/>
            <w:tcBorders>
              <w:top w:val="none" w:color="FFFFFF" w:sz="0"/>
              <w:left w:val="none" w:color="FFFFFF" w:sz="0"/>
              <w:bottom w:val="single" w:color="E8E0CC" w:sz="1"/>
              <w:right w:val="none" w:color="FFFFFF" w:sz="0"/>
            </w:tcBorders>
            <w:shd w:fill="FFF8E8" w:val="clear"/>
            <w:tcMar>
              <w:top w:type="dxa" w:w="80"/>
              <w:left w:type="dxa" w:w="120"/>
              <w:bottom w:type="dxa" w:w="80"/>
              <w:right w:type="dxa" w:w="120"/>
            </w:tcMar>
          </w:tcPr>
          <w:p>
            <w:r>
              <w:rPr>
                <w:rFonts w:ascii="Calibri" w:cs="Calibri" w:eastAsia="Calibri" w:hAnsi="Calibri"/>
                <w:b/>
                <w:bCs/>
                <w:color w:val="555533"/>
                <w:sz w:val="20"/>
                <w:szCs w:val="20"/>
              </w:rPr>
              <w:t xml:space="preserve">Registered Address</w:t>
            </w:r>
          </w:p>
        </w:tc>
        <w:tc>
          <w:tcPr>
            <w:tcW w:type="dxa" w:w="6360"/>
            <w:tcBorders>
              <w:top w:val="none" w:color="FFFFFF" w:sz="0"/>
              <w:left w:val="none" w:color="FFFFFF" w:sz="0"/>
              <w:bottom w:val="single" w:color="E8E0CC" w:sz="1"/>
              <w:right w:val="none" w:color="FFFFFF" w:sz="0"/>
            </w:tcBorders>
            <w:shd w:fill="FFF8E8" w:val="clear"/>
            <w:tcMar>
              <w:top w:type="dxa" w:w="80"/>
              <w:left w:type="dxa" w:w="160"/>
              <w:bottom w:type="dxa" w:w="80"/>
              <w:right w:type="dxa" w:w="120"/>
            </w:tcMar>
          </w:tcPr>
          <w:p>
            <w:r>
              <w:rPr>
                <w:rFonts w:ascii="Calibri" w:cs="Calibri" w:eastAsia="Calibri" w:hAnsi="Calibri"/>
                <w:i/>
                <w:iCs/>
                <w:color w:val="AA8822"/>
                <w:sz w:val="20"/>
                <w:szCs w:val="20"/>
              </w:rPr>
              <w:t xml:space="preserve">[TO BE FILLED BY APPLICANT]</w:t>
            </w:r>
          </w:p>
        </w:tc>
      </w:tr>
      <w:tr>
        <w:tc>
          <w:tcPr>
            <w:tcW w:type="dxa" w:w="3000"/>
            <w:tcBorders>
              <w:top w:val="none" w:color="FFFFFF" w:sz="0"/>
              <w:left w:val="none" w:color="FFFFFF" w:sz="0"/>
              <w:bottom w:val="single" w:color="E8E0CC" w:sz="1"/>
              <w:right w:val="none" w:color="FFFFFF" w:sz="0"/>
            </w:tcBorders>
            <w:shd w:fill="FFF8E8" w:val="clear"/>
            <w:tcMar>
              <w:top w:type="dxa" w:w="80"/>
              <w:left w:type="dxa" w:w="120"/>
              <w:bottom w:type="dxa" w:w="80"/>
              <w:right w:type="dxa" w:w="120"/>
            </w:tcMar>
          </w:tcPr>
          <w:p>
            <w:r>
              <w:rPr>
                <w:rFonts w:ascii="Calibri" w:cs="Calibri" w:eastAsia="Calibri" w:hAnsi="Calibri"/>
                <w:b/>
                <w:bCs/>
                <w:color w:val="555533"/>
                <w:sz w:val="20"/>
                <w:szCs w:val="20"/>
              </w:rPr>
              <w:t xml:space="preserve">Director(s)</w:t>
            </w:r>
          </w:p>
        </w:tc>
        <w:tc>
          <w:tcPr>
            <w:tcW w:type="dxa" w:w="6360"/>
            <w:tcBorders>
              <w:top w:val="none" w:color="FFFFFF" w:sz="0"/>
              <w:left w:val="none" w:color="FFFFFF" w:sz="0"/>
              <w:bottom w:val="single" w:color="E8E0CC" w:sz="1"/>
              <w:right w:val="none" w:color="FFFFFF" w:sz="0"/>
            </w:tcBorders>
            <w:shd w:fill="FFF8E8" w:val="clear"/>
            <w:tcMar>
              <w:top w:type="dxa" w:w="80"/>
              <w:left w:type="dxa" w:w="160"/>
              <w:bottom w:type="dxa" w:w="80"/>
              <w:right w:type="dxa" w:w="120"/>
            </w:tcMar>
          </w:tcPr>
          <w:p>
            <w:r>
              <w:rPr>
                <w:rFonts w:ascii="Calibri" w:cs="Calibri" w:eastAsia="Calibri" w:hAnsi="Calibri"/>
                <w:i/>
                <w:iCs/>
                <w:color w:val="AA8822"/>
                <w:sz w:val="20"/>
                <w:szCs w:val="20"/>
              </w:rPr>
              <w:t xml:space="preserve">[TO BE FILLED BY APPLICANT]</w:t>
            </w:r>
          </w:p>
        </w:tc>
      </w:tr>
      <w:tr>
        <w:tc>
          <w:tcPr>
            <w:tcW w:type="dxa" w:w="3000"/>
            <w:tcBorders>
              <w:top w:val="none" w:color="FFFFFF" w:sz="0"/>
              <w:left w:val="none" w:color="FFFFFF" w:sz="0"/>
              <w:bottom w:val="single" w:color="E8E0CC" w:sz="1"/>
              <w:right w:val="none" w:color="FFFFFF" w:sz="0"/>
            </w:tcBorders>
            <w:shd w:fill="FFF8E8" w:val="clear"/>
            <w:tcMar>
              <w:top w:type="dxa" w:w="80"/>
              <w:left w:type="dxa" w:w="120"/>
              <w:bottom w:type="dxa" w:w="80"/>
              <w:right w:type="dxa" w:w="120"/>
            </w:tcMar>
          </w:tcPr>
          <w:p>
            <w:r>
              <w:rPr>
                <w:rFonts w:ascii="Calibri" w:cs="Calibri" w:eastAsia="Calibri" w:hAnsi="Calibri"/>
                <w:b/>
                <w:bCs/>
                <w:color w:val="555533"/>
                <w:sz w:val="20"/>
                <w:szCs w:val="20"/>
              </w:rPr>
              <w:t xml:space="preserve">Contact Email</w:t>
            </w:r>
          </w:p>
        </w:tc>
        <w:tc>
          <w:tcPr>
            <w:tcW w:type="dxa" w:w="6360"/>
            <w:tcBorders>
              <w:top w:val="none" w:color="FFFFFF" w:sz="0"/>
              <w:left w:val="none" w:color="FFFFFF" w:sz="0"/>
              <w:bottom w:val="single" w:color="E8E0CC" w:sz="1"/>
              <w:right w:val="none" w:color="FFFFFF" w:sz="0"/>
            </w:tcBorders>
            <w:shd w:fill="FFF8E8" w:val="clear"/>
            <w:tcMar>
              <w:top w:type="dxa" w:w="80"/>
              <w:left w:type="dxa" w:w="160"/>
              <w:bottom w:type="dxa" w:w="80"/>
              <w:right w:type="dxa" w:w="120"/>
            </w:tcMar>
          </w:tcPr>
          <w:p>
            <w:r>
              <w:rPr>
                <w:rFonts w:ascii="Calibri" w:cs="Calibri" w:eastAsia="Calibri" w:hAnsi="Calibri"/>
                <w:i/>
                <w:iCs/>
                <w:color w:val="AA8822"/>
                <w:sz w:val="20"/>
                <w:szCs w:val="20"/>
              </w:rPr>
              <w:t xml:space="preserve">[TO BE FILLED — e.g. support@yourdomain.com]</w:t>
            </w:r>
          </w:p>
        </w:tc>
      </w:tr>
      <w:tr>
        <w:tc>
          <w:tcPr>
            <w:tcW w:type="dxa" w:w="3000"/>
            <w:tcBorders>
              <w:top w:val="none" w:color="FFFFFF" w:sz="0"/>
              <w:left w:val="none" w:color="FFFFFF" w:sz="0"/>
              <w:bottom w:val="single" w:color="E8E0CC" w:sz="1"/>
              <w:right w:val="none" w:color="FFFFFF" w:sz="0"/>
            </w:tcBorders>
            <w:shd w:fill="FFF8E8" w:val="clear"/>
            <w:tcMar>
              <w:top w:type="dxa" w:w="80"/>
              <w:left w:type="dxa" w:w="120"/>
              <w:bottom w:type="dxa" w:w="80"/>
              <w:right w:type="dxa" w:w="120"/>
            </w:tcMar>
          </w:tcPr>
          <w:p>
            <w:r>
              <w:rPr>
                <w:rFonts w:ascii="Calibri" w:cs="Calibri" w:eastAsia="Calibri" w:hAnsi="Calibri"/>
                <w:b/>
                <w:bCs/>
                <w:color w:val="555533"/>
                <w:sz w:val="20"/>
                <w:szCs w:val="20"/>
              </w:rPr>
              <w:t xml:space="preserve">Website</w:t>
            </w:r>
          </w:p>
        </w:tc>
        <w:tc>
          <w:tcPr>
            <w:tcW w:type="dxa" w:w="6360"/>
            <w:tcBorders>
              <w:top w:val="none" w:color="FFFFFF" w:sz="0"/>
              <w:left w:val="none" w:color="FFFFFF" w:sz="0"/>
              <w:bottom w:val="single" w:color="E8E0CC" w:sz="1"/>
              <w:right w:val="none" w:color="FFFFFF" w:sz="0"/>
            </w:tcBorders>
            <w:shd w:fill="FFF8E8" w:val="clear"/>
            <w:tcMar>
              <w:top w:type="dxa" w:w="80"/>
              <w:left w:type="dxa" w:w="160"/>
              <w:bottom w:type="dxa" w:w="80"/>
              <w:right w:type="dxa" w:w="120"/>
            </w:tcMar>
          </w:tcPr>
          <w:p>
            <w:r>
              <w:rPr>
                <w:rFonts w:ascii="Calibri" w:cs="Calibri" w:eastAsia="Calibri" w:hAnsi="Calibri"/>
                <w:i/>
                <w:iCs/>
                <w:color w:val="AA8822"/>
                <w:sz w:val="20"/>
                <w:szCs w:val="20"/>
              </w:rPr>
              <w:t xml:space="preserve">[TO BE FILLED — e.g. yourdomain.casino]</w:t>
            </w:r>
          </w:p>
        </w:tc>
      </w:tr>
      <w:tr>
        <w:tc>
          <w:tcPr>
            <w:tcW w:type="dxa" w:w="3000"/>
            <w:tcBorders>
              <w:top w:val="none" w:color="FFFFFF" w:sz="0"/>
              <w:left w:val="none" w:color="FFFFFF" w:sz="0"/>
              <w:bottom w:val="single" w:color="E8E0CC" w:sz="1"/>
              <w:right w:val="none" w:color="FFFFFF" w:sz="0"/>
            </w:tcBorders>
            <w:shd w:fill="FFF8E8" w:val="clear"/>
            <w:tcMar>
              <w:top w:type="dxa" w:w="80"/>
              <w:left w:type="dxa" w:w="120"/>
              <w:bottom w:type="dxa" w:w="80"/>
              <w:right w:type="dxa" w:w="120"/>
            </w:tcMar>
          </w:tcPr>
          <w:p>
            <w:r>
              <w:rPr>
                <w:rFonts w:ascii="Calibri" w:cs="Calibri" w:eastAsia="Calibri" w:hAnsi="Calibri"/>
                <w:b/>
                <w:bCs/>
                <w:color w:val="555533"/>
                <w:sz w:val="20"/>
                <w:szCs w:val="20"/>
              </w:rPr>
              <w:t xml:space="preserve">Platform Domain</w:t>
            </w:r>
          </w:p>
        </w:tc>
        <w:tc>
          <w:tcPr>
            <w:tcW w:type="dxa" w:w="6360"/>
            <w:tcBorders>
              <w:top w:val="none" w:color="FFFFFF" w:sz="0"/>
              <w:left w:val="none" w:color="FFFFFF" w:sz="0"/>
              <w:bottom w:val="single" w:color="E8E0CC" w:sz="1"/>
              <w:right w:val="none" w:color="FFFFFF" w:sz="0"/>
            </w:tcBorders>
            <w:shd w:fill="FFF8E8" w:val="clear"/>
            <w:tcMar>
              <w:top w:type="dxa" w:w="80"/>
              <w:left w:type="dxa" w:w="160"/>
              <w:bottom w:type="dxa" w:w="80"/>
              <w:right w:type="dxa" w:w="120"/>
            </w:tcMar>
          </w:tcPr>
          <w:p>
            <w:r>
              <w:rPr>
                <w:rFonts w:ascii="Calibri" w:cs="Calibri" w:eastAsia="Calibri" w:hAnsi="Calibri"/>
                <w:i/>
                <w:iCs/>
                <w:color w:val="AA8822"/>
                <w:sz w:val="20"/>
                <w:szCs w:val="20"/>
              </w:rPr>
              <w:t xml:space="preserve">[TO BE FILLED — e.g. https://yourdomain.casino]</w:t>
            </w:r>
          </w:p>
        </w:tc>
      </w:tr>
    </w:tbl>
    <w:p>
      <w:pPr>
        <w:spacing w:after="0" w:before="200"/>
      </w:pPr>
    </w:p>
    <w:p>
      <w:pPr>
        <w:pBdr>
          <w:bottom w:val="single" w:color="C9A84C" w:sz="4" w:space="4"/>
        </w:pBdr>
        <w:spacing w:after="120" w:before="360"/>
      </w:pPr>
      <w:r>
        <w:rPr>
          <w:rFonts w:ascii="Calibri" w:cs="Calibri" w:eastAsia="Calibri" w:hAnsi="Calibri"/>
          <w:b/>
          <w:bCs/>
          <w:caps/>
          <w:color w:val="1A1A1A"/>
          <w:spacing w:val="40"/>
          <w:sz w:val="28"/>
          <w:szCs w:val="28"/>
        </w:rPr>
        <w:t xml:space="preserve">2. Business Description</w:t>
      </w:r>
    </w:p>
    <w:p>
      <w:pPr>
        <w:spacing w:after="0" w:before="80"/>
      </w:pPr>
    </w:p>
    <w:p>
      <w:pPr>
        <w:spacing w:after="120" w:before="80"/>
      </w:pPr>
      <w:r>
        <w:rPr>
          <w:rFonts w:ascii="Calibri" w:cs="Calibri" w:eastAsia="Calibri" w:hAnsi="Calibri"/>
          <w:color w:val="333333"/>
          <w:sz w:val="20"/>
          <w:szCs w:val="20"/>
        </w:rPr>
        <w:t xml:space="preserve">HATHOR Royal Casino is a premium online casino platform built and operated by HATHOR Royal Ltd. The platform operates on a virtual token system (1 EUR = 100 tokens), providing entertainment-focused online gaming services to adult players (18+) worldwide. All games use cryptographically secure server-side random number generation with a provably fair verification system, ensuring full transparency and player trust.</w:t>
      </w:r>
    </w:p>
    <w:p>
      <w:pPr>
        <w:spacing w:after="120" w:before="80"/>
      </w:pPr>
      <w:r>
        <w:rPr>
          <w:rFonts w:ascii="Calibri" w:cs="Calibri" w:eastAsia="Calibri" w:hAnsi="Calibri"/>
          <w:color w:val="333333"/>
          <w:sz w:val="20"/>
          <w:szCs w:val="20"/>
        </w:rPr>
        <w:t xml:space="preserve">The casino offers a diverse portfolio of 17 unique games across 6 categories, supporting 11 languages and accepting both cryptocurrency and card payments. HATHOR Royal Casino is fully committed to responsible gambling practices, KYC/AML compliance, and GDPR-compliant data protection.</w:t>
      </w:r>
    </w:p>
    <w:p>
      <w:pPr>
        <w:spacing w:after="0" w:before="200"/>
      </w:pPr>
    </w:p>
    <w:p>
      <w:pPr>
        <w:pBdr>
          <w:bottom w:val="single" w:color="C9A84C" w:sz="4" w:space="4"/>
        </w:pBdr>
        <w:spacing w:after="120" w:before="360"/>
      </w:pPr>
      <w:r>
        <w:rPr>
          <w:rFonts w:ascii="Calibri" w:cs="Calibri" w:eastAsia="Calibri" w:hAnsi="Calibri"/>
          <w:b/>
          <w:bCs/>
          <w:caps/>
          <w:color w:val="1A1A1A"/>
          <w:spacing w:val="40"/>
          <w:sz w:val="28"/>
          <w:szCs w:val="28"/>
        </w:rPr>
        <w:t xml:space="preserve">3. Games Offered  (17 unique games)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8C0" w:sz="1"/>
              <w:left w:val="single" w:color="E0D8C0" w:sz="1"/>
              <w:bottom w:val="single" w:color="E0D8C0" w:sz="1"/>
              <w:right w:val="single" w:color="E0D8C0" w:sz="1"/>
            </w:tcBorders>
            <w:shd w:fill="F5F0E0" w:val="clear"/>
            <w:tcMar>
              <w:top w:type="dxa" w:w="100"/>
              <w:left w:type="dxa" w:w="160"/>
              <w:bottom w:type="dxa" w:w="100"/>
              <w:right w:type="dxa" w:w="120"/>
            </w:tcMar>
          </w:tcPr>
          <w:p>
            <w:r>
              <w:rPr>
                <w:rFonts w:ascii="Calibri" w:cs="Calibri" w:eastAsia="Calibri" w:hAnsi="Calibri"/>
                <w:b/>
                <w:bCs/>
                <w:color w:val="7A6020"/>
                <w:sz w:val="20"/>
                <w:szCs w:val="20"/>
              </w:rPr>
              <w:t xml:space="preserve">Slots</w:t>
            </w:r>
          </w:p>
        </w:tc>
        <w:tc>
          <w:tcPr>
            <w:tcW w:type="dxa" w:w="6560"/>
            <w:tcBorders>
              <w:top w:val="single" w:color="E0D8C0" w:sz="1"/>
              <w:left w:val="single" w:color="E0D8C0" w:sz="1"/>
              <w:bottom w:val="single" w:color="E0D8C0" w:sz="1"/>
              <w:right w:val="single" w:color="E0D8C0" w:sz="1"/>
            </w:tcBorders>
            <w:shd w:fill="FDFCF8" w:val="clear"/>
            <w:tcMar>
              <w:top w:type="dxa" w:w="100"/>
              <w:left w:type="dxa" w:w="160"/>
              <w:bottom w:type="dxa" w:w="100"/>
              <w:right w:type="dxa" w:w="120"/>
            </w:tcMar>
          </w:tcPr>
          <w:p>
            <w:r>
              <w:rPr>
                <w:rFonts w:ascii="Calibri" w:cs="Calibri" w:eastAsia="Calibri" w:hAnsi="Calibri"/>
                <w:color w:val="333333"/>
                <w:sz w:val="20"/>
                <w:szCs w:val="20"/>
              </w:rPr>
              <w:t xml:space="preserve">Classic Slot Machine; NEXUS SLOTS — 3D premium slot experience</w:t>
            </w:r>
          </w:p>
        </w:tc>
      </w:tr>
      <w:tr>
        <w:tc>
          <w:tcPr>
            <w:tcW w:type="dxa" w:w="2800"/>
            <w:tcBorders>
              <w:top w:val="single" w:color="E0D8C0" w:sz="1"/>
              <w:left w:val="single" w:color="E0D8C0" w:sz="1"/>
              <w:bottom w:val="single" w:color="E0D8C0" w:sz="1"/>
              <w:right w:val="single" w:color="E0D8C0" w:sz="1"/>
            </w:tcBorders>
            <w:shd w:fill="F5F0E0" w:val="clear"/>
            <w:tcMar>
              <w:top w:type="dxa" w:w="100"/>
              <w:left w:type="dxa" w:w="160"/>
              <w:bottom w:type="dxa" w:w="100"/>
              <w:right w:type="dxa" w:w="120"/>
            </w:tcMar>
          </w:tcPr>
          <w:p>
            <w:r>
              <w:rPr>
                <w:rFonts w:ascii="Calibri" w:cs="Calibri" w:eastAsia="Calibri" w:hAnsi="Calibri"/>
                <w:b/>
                <w:bCs/>
                <w:color w:val="7A6020"/>
                <w:sz w:val="20"/>
                <w:szCs w:val="20"/>
              </w:rPr>
              <w:t xml:space="preserve">Crash Games</w:t>
            </w:r>
          </w:p>
        </w:tc>
        <w:tc>
          <w:tcPr>
            <w:tcW w:type="dxa" w:w="6560"/>
            <w:tcBorders>
              <w:top w:val="single" w:color="E0D8C0" w:sz="1"/>
              <w:left w:val="single" w:color="E0D8C0" w:sz="1"/>
              <w:bottom w:val="single" w:color="E0D8C0" w:sz="1"/>
              <w:right w:val="single" w:color="E0D8C0" w:sz="1"/>
            </w:tcBorders>
            <w:shd w:fill="FDFCF8" w:val="clear"/>
            <w:tcMar>
              <w:top w:type="dxa" w:w="100"/>
              <w:left w:type="dxa" w:w="160"/>
              <w:bottom w:type="dxa" w:w="100"/>
              <w:right w:type="dxa" w:w="120"/>
            </w:tcMar>
          </w:tcPr>
          <w:p>
            <w:r>
              <w:rPr>
                <w:rFonts w:ascii="Calibri" w:cs="Calibri" w:eastAsia="Calibri" w:hAnsi="Calibri"/>
                <w:color w:val="333333"/>
                <w:sz w:val="20"/>
                <w:szCs w:val="20"/>
              </w:rPr>
              <w:t xml:space="preserve">Dragon Crash — multiplier crash game</w:t>
            </w:r>
          </w:p>
        </w:tc>
      </w:tr>
      <w:tr>
        <w:tc>
          <w:tcPr>
            <w:tcW w:type="dxa" w:w="2800"/>
            <w:tcBorders>
              <w:top w:val="single" w:color="E0D8C0" w:sz="1"/>
              <w:left w:val="single" w:color="E0D8C0" w:sz="1"/>
              <w:bottom w:val="single" w:color="E0D8C0" w:sz="1"/>
              <w:right w:val="single" w:color="E0D8C0" w:sz="1"/>
            </w:tcBorders>
            <w:shd w:fill="F5F0E0" w:val="clear"/>
            <w:tcMar>
              <w:top w:type="dxa" w:w="100"/>
              <w:left w:type="dxa" w:w="160"/>
              <w:bottom w:type="dxa" w:w="100"/>
              <w:right w:type="dxa" w:w="120"/>
            </w:tcMar>
          </w:tcPr>
          <w:p>
            <w:r>
              <w:rPr>
                <w:rFonts w:ascii="Calibri" w:cs="Calibri" w:eastAsia="Calibri" w:hAnsi="Calibri"/>
                <w:b/>
                <w:bCs/>
                <w:color w:val="7A6020"/>
                <w:sz w:val="20"/>
                <w:szCs w:val="20"/>
              </w:rPr>
              <w:t xml:space="preserve">Table Games</w:t>
            </w:r>
          </w:p>
        </w:tc>
        <w:tc>
          <w:tcPr>
            <w:tcW w:type="dxa" w:w="6560"/>
            <w:tcBorders>
              <w:top w:val="single" w:color="E0D8C0" w:sz="1"/>
              <w:left w:val="single" w:color="E0D8C0" w:sz="1"/>
              <w:bottom w:val="single" w:color="E0D8C0" w:sz="1"/>
              <w:right w:val="single" w:color="E0D8C0" w:sz="1"/>
            </w:tcBorders>
            <w:shd w:fill="FDFCF8" w:val="clear"/>
            <w:tcMar>
              <w:top w:type="dxa" w:w="100"/>
              <w:left w:type="dxa" w:w="160"/>
              <w:bottom w:type="dxa" w:w="100"/>
              <w:right w:type="dxa" w:w="120"/>
            </w:tcMar>
          </w:tcPr>
          <w:p>
            <w:r>
              <w:rPr>
                <w:rFonts w:ascii="Calibri" w:cs="Calibri" w:eastAsia="Calibri" w:hAnsi="Calibri"/>
                <w:color w:val="333333"/>
                <w:sz w:val="20"/>
                <w:szCs w:val="20"/>
              </w:rPr>
              <w:t xml:space="preserve">Blackjack (standard 21); Baccarat (punto banco); Roulette (European single zero)</w:t>
            </w:r>
          </w:p>
        </w:tc>
      </w:tr>
      <w:tr>
        <w:tc>
          <w:tcPr>
            <w:tcW w:type="dxa" w:w="2800"/>
            <w:tcBorders>
              <w:top w:val="single" w:color="E0D8C0" w:sz="1"/>
              <w:left w:val="single" w:color="E0D8C0" w:sz="1"/>
              <w:bottom w:val="single" w:color="E0D8C0" w:sz="1"/>
              <w:right w:val="single" w:color="E0D8C0" w:sz="1"/>
            </w:tcBorders>
            <w:shd w:fill="F5F0E0" w:val="clear"/>
            <w:tcMar>
              <w:top w:type="dxa" w:w="100"/>
              <w:left w:type="dxa" w:w="160"/>
              <w:bottom w:type="dxa" w:w="100"/>
              <w:right w:type="dxa" w:w="120"/>
            </w:tcMar>
          </w:tcPr>
          <w:p>
            <w:r>
              <w:rPr>
                <w:rFonts w:ascii="Calibri" w:cs="Calibri" w:eastAsia="Calibri" w:hAnsi="Calibri"/>
                <w:b/>
                <w:bCs/>
                <w:color w:val="7A6020"/>
                <w:sz w:val="20"/>
                <w:szCs w:val="20"/>
              </w:rPr>
              <w:t xml:space="preserve">Card &amp; Dice</w:t>
            </w:r>
          </w:p>
        </w:tc>
        <w:tc>
          <w:tcPr>
            <w:tcW w:type="dxa" w:w="6560"/>
            <w:tcBorders>
              <w:top w:val="single" w:color="E0D8C0" w:sz="1"/>
              <w:left w:val="single" w:color="E0D8C0" w:sz="1"/>
              <w:bottom w:val="single" w:color="E0D8C0" w:sz="1"/>
              <w:right w:val="single" w:color="E0D8C0" w:sz="1"/>
            </w:tcBorders>
            <w:shd w:fill="FDFCF8" w:val="clear"/>
            <w:tcMar>
              <w:top w:type="dxa" w:w="100"/>
              <w:left w:type="dxa" w:w="160"/>
              <w:bottom w:type="dxa" w:w="100"/>
              <w:right w:type="dxa" w:w="120"/>
            </w:tcMar>
          </w:tcPr>
          <w:p>
            <w:r>
              <w:rPr>
                <w:rFonts w:ascii="Calibri" w:cs="Calibri" w:eastAsia="Calibri" w:hAnsi="Calibri"/>
                <w:color w:val="333333"/>
                <w:sz w:val="20"/>
                <w:szCs w:val="20"/>
              </w:rPr>
              <w:t xml:space="preserve">HiLo — predict higher or lower; Video Poker — Jacks or Better</w:t>
            </w:r>
          </w:p>
        </w:tc>
      </w:tr>
      <w:tr>
        <w:tc>
          <w:tcPr>
            <w:tcW w:type="dxa" w:w="2800"/>
            <w:tcBorders>
              <w:top w:val="single" w:color="E0D8C0" w:sz="1"/>
              <w:left w:val="single" w:color="E0D8C0" w:sz="1"/>
              <w:bottom w:val="single" w:color="E0D8C0" w:sz="1"/>
              <w:right w:val="single" w:color="E0D8C0" w:sz="1"/>
            </w:tcBorders>
            <w:shd w:fill="F5F0E0" w:val="clear"/>
            <w:tcMar>
              <w:top w:type="dxa" w:w="100"/>
              <w:left w:type="dxa" w:w="160"/>
              <w:bottom w:type="dxa" w:w="100"/>
              <w:right w:type="dxa" w:w="120"/>
            </w:tcMar>
          </w:tcPr>
          <w:p>
            <w:r>
              <w:rPr>
                <w:rFonts w:ascii="Calibri" w:cs="Calibri" w:eastAsia="Calibri" w:hAnsi="Calibri"/>
                <w:b/>
                <w:bCs/>
                <w:color w:val="7A6020"/>
                <w:sz w:val="20"/>
                <w:szCs w:val="20"/>
              </w:rPr>
              <w:t xml:space="preserve">Strategy Games</w:t>
            </w:r>
          </w:p>
        </w:tc>
        <w:tc>
          <w:tcPr>
            <w:tcW w:type="dxa" w:w="6560"/>
            <w:tcBorders>
              <w:top w:val="single" w:color="E0D8C0" w:sz="1"/>
              <w:left w:val="single" w:color="E0D8C0" w:sz="1"/>
              <w:bottom w:val="single" w:color="E0D8C0" w:sz="1"/>
              <w:right w:val="single" w:color="E0D8C0" w:sz="1"/>
            </w:tcBorders>
            <w:shd w:fill="FDFCF8" w:val="clear"/>
            <w:tcMar>
              <w:top w:type="dxa" w:w="100"/>
              <w:left w:type="dxa" w:w="160"/>
              <w:bottom w:type="dxa" w:w="100"/>
              <w:right w:type="dxa" w:w="120"/>
            </w:tcMar>
          </w:tcPr>
          <w:p>
            <w:r>
              <w:rPr>
                <w:rFonts w:ascii="Calibri" w:cs="Calibri" w:eastAsia="Calibri" w:hAnsi="Calibri"/>
                <w:color w:val="333333"/>
                <w:sz w:val="20"/>
                <w:szCs w:val="20"/>
              </w:rPr>
              <w:t xml:space="preserve">Mines — pick safe tiles; Dragon Tower — tower climbing game</w:t>
            </w:r>
          </w:p>
        </w:tc>
      </w:tr>
      <w:tr>
        <w:tc>
          <w:tcPr>
            <w:tcW w:type="dxa" w:w="2800"/>
            <w:tcBorders>
              <w:top w:val="single" w:color="E0D8C0" w:sz="1"/>
              <w:left w:val="single" w:color="E0D8C0" w:sz="1"/>
              <w:bottom w:val="single" w:color="E0D8C0" w:sz="1"/>
              <w:right w:val="single" w:color="E0D8C0" w:sz="1"/>
            </w:tcBorders>
            <w:shd w:fill="F5F0E0" w:val="clear"/>
            <w:tcMar>
              <w:top w:type="dxa" w:w="100"/>
              <w:left w:type="dxa" w:w="160"/>
              <w:bottom w:type="dxa" w:w="100"/>
              <w:right w:type="dxa" w:w="120"/>
            </w:tcMar>
          </w:tcPr>
          <w:p>
            <w:r>
              <w:rPr>
                <w:rFonts w:ascii="Calibri" w:cs="Calibri" w:eastAsia="Calibri" w:hAnsi="Calibri"/>
                <w:b/>
                <w:bCs/>
                <w:color w:val="7A6020"/>
                <w:sz w:val="20"/>
                <w:szCs w:val="20"/>
              </w:rPr>
              <w:t xml:space="preserve">Number Games</w:t>
            </w:r>
          </w:p>
        </w:tc>
        <w:tc>
          <w:tcPr>
            <w:tcW w:type="dxa" w:w="6560"/>
            <w:tcBorders>
              <w:top w:val="single" w:color="E0D8C0" w:sz="1"/>
              <w:left w:val="single" w:color="E0D8C0" w:sz="1"/>
              <w:bottom w:val="single" w:color="E0D8C0" w:sz="1"/>
              <w:right w:val="single" w:color="E0D8C0" w:sz="1"/>
            </w:tcBorders>
            <w:shd w:fill="FDFCF8" w:val="clear"/>
            <w:tcMar>
              <w:top w:type="dxa" w:w="100"/>
              <w:left w:type="dxa" w:w="160"/>
              <w:bottom w:type="dxa" w:w="100"/>
              <w:right w:type="dxa" w:w="120"/>
            </w:tcMar>
          </w:tcPr>
          <w:p>
            <w:r>
              <w:rPr>
                <w:rFonts w:ascii="Calibri" w:cs="Calibri" w:eastAsia="Calibri" w:hAnsi="Calibri"/>
                <w:color w:val="333333"/>
                <w:sz w:val="20"/>
                <w:szCs w:val="20"/>
              </w:rPr>
              <w:t xml:space="preserve">Keno — 20-number draw; Limbo — target multiplier; Plinko — ball drop; Dice — roll over/under</w:t>
            </w:r>
          </w:p>
        </w:tc>
      </w:tr>
      <w:tr>
        <w:tc>
          <w:tcPr>
            <w:tcW w:type="dxa" w:w="2800"/>
            <w:tcBorders>
              <w:top w:val="single" w:color="E0D8C0" w:sz="1"/>
              <w:left w:val="single" w:color="E0D8C0" w:sz="1"/>
              <w:bottom w:val="single" w:color="E0D8C0" w:sz="1"/>
              <w:right w:val="single" w:color="E0D8C0" w:sz="1"/>
            </w:tcBorders>
            <w:shd w:fill="F5F0E0" w:val="clear"/>
            <w:tcMar>
              <w:top w:type="dxa" w:w="100"/>
              <w:left w:type="dxa" w:w="160"/>
              <w:bottom w:type="dxa" w:w="100"/>
              <w:right w:type="dxa" w:w="120"/>
            </w:tcMar>
          </w:tcPr>
          <w:p>
            <w:r>
              <w:rPr>
                <w:rFonts w:ascii="Calibri" w:cs="Calibri" w:eastAsia="Calibri" w:hAnsi="Calibri"/>
                <w:b/>
                <w:bCs/>
                <w:color w:val="7A6020"/>
                <w:sz w:val="20"/>
                <w:szCs w:val="20"/>
              </w:rPr>
              <w:t xml:space="preserve">Wheel Games</w:t>
            </w:r>
          </w:p>
        </w:tc>
        <w:tc>
          <w:tcPr>
            <w:tcW w:type="dxa" w:w="6560"/>
            <w:tcBorders>
              <w:top w:val="single" w:color="E0D8C0" w:sz="1"/>
              <w:left w:val="single" w:color="E0D8C0" w:sz="1"/>
              <w:bottom w:val="single" w:color="E0D8C0" w:sz="1"/>
              <w:right w:val="single" w:color="E0D8C0" w:sz="1"/>
            </w:tcBorders>
            <w:shd w:fill="FDFCF8" w:val="clear"/>
            <w:tcMar>
              <w:top w:type="dxa" w:w="100"/>
              <w:left w:type="dxa" w:w="160"/>
              <w:bottom w:type="dxa" w:w="100"/>
              <w:right w:type="dxa" w:w="120"/>
            </w:tcMar>
          </w:tcPr>
          <w:p>
            <w:r>
              <w:rPr>
                <w:rFonts w:ascii="Calibri" w:cs="Calibri" w:eastAsia="Calibri" w:hAnsi="Calibri"/>
                <w:color w:val="333333"/>
                <w:sz w:val="20"/>
                <w:szCs w:val="20"/>
              </w:rPr>
              <w:t xml:space="preserve">NEXUS WHEEL — 3D spinning wheel with multipliers; Coin Flip</w:t>
            </w:r>
          </w:p>
        </w:tc>
      </w:tr>
    </w:tbl>
    <w:p>
      <w:pPr>
        <w:spacing w:after="0" w:before="200"/>
      </w:pPr>
    </w:p>
    <w:p>
      <w:pPr>
        <w:pBdr>
          <w:bottom w:val="single" w:color="C9A84C" w:sz="4" w:space="4"/>
        </w:pBdr>
        <w:spacing w:after="120" w:before="360"/>
      </w:pPr>
      <w:r>
        <w:rPr>
          <w:rFonts w:ascii="Calibri" w:cs="Calibri" w:eastAsia="Calibri" w:hAnsi="Calibri"/>
          <w:b/>
          <w:bCs/>
          <w:caps/>
          <w:color w:val="1A1A1A"/>
          <w:spacing w:val="40"/>
          <w:sz w:val="28"/>
          <w:szCs w:val="28"/>
        </w:rPr>
        <w:t xml:space="preserve">4. Technical Infrastructure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Platform</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Custom-built proprietary software</w:t>
            </w:r>
          </w:p>
        </w:tc>
      </w:tr>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Hosting</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Railway.app (cloud infrastructure, 99.9% uptime SLA)</w:t>
            </w:r>
          </w:p>
        </w:tc>
      </w:tr>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RNG</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Cryptographically secure server-side random number generation</w:t>
            </w:r>
          </w:p>
        </w:tc>
      </w:tr>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Currency</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Virtual tokens — no real money gambling</w:t>
            </w:r>
          </w:p>
        </w:tc>
      </w:tr>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Languages</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11: English, Lithuanian, Russian, German, Polish, French, Turkish, Arabic, Chinese, Hindi, Ukrainian</w:t>
            </w:r>
          </w:p>
        </w:tc>
      </w:tr>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Payment Processing</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Cryptocurrency (NowPayments); Card payments (Stripe)</w:t>
            </w:r>
          </w:p>
        </w:tc>
      </w:tr>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Backend</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Node.js + Express; SQLite database</w:t>
            </w:r>
          </w:p>
        </w:tc>
      </w:tr>
      <w:tr>
        <w:tc>
          <w:tcPr>
            <w:tcW w:type="dxa" w:w="3000"/>
            <w:tcBorders>
              <w:top w:val="none" w:color="FFFFFF" w:sz="0"/>
              <w:left w:val="none" w:color="FFFFFF" w:sz="0"/>
              <w:bottom w:val="single" w:color="E8E0CC" w:sz="1"/>
              <w:right w:val="none" w:color="FFFFFF" w:sz="0"/>
            </w:tcBorders>
            <w:shd w:fill="F8F6F0" w:val="clear"/>
            <w:tcMar>
              <w:top w:type="dxa" w:w="80"/>
              <w:left w:type="dxa" w:w="120"/>
              <w:bottom w:type="dxa" w:w="80"/>
              <w:right w:type="dxa" w:w="120"/>
            </w:tcMar>
          </w:tcPr>
          <w:p>
            <w:r>
              <w:rPr>
                <w:rFonts w:ascii="Calibri" w:cs="Calibri" w:eastAsia="Calibri" w:hAnsi="Calibri"/>
                <w:b/>
                <w:bCs/>
                <w:color w:val="555533"/>
                <w:sz w:val="20"/>
                <w:szCs w:val="20"/>
              </w:rPr>
              <w:t xml:space="preserve">Security</w:t>
            </w:r>
          </w:p>
        </w:tc>
        <w:tc>
          <w:tcPr>
            <w:tcW w:type="dxa" w:w="6360"/>
            <w:tcBorders>
              <w:top w:val="none" w:color="FFFFFF" w:sz="0"/>
              <w:left w:val="none" w:color="FFFFFF" w:sz="0"/>
              <w:bottom w:val="single" w:color="E8E0CC" w:sz="1"/>
              <w:right w:val="none" w:color="FFFFFF" w:sz="0"/>
            </w:tcBorders>
            <w:shd w:fill="FFFFFF" w:val="clear"/>
            <w:tcMar>
              <w:top w:type="dxa" w:w="80"/>
              <w:left w:type="dxa" w:w="160"/>
              <w:bottom w:type="dxa" w:w="80"/>
              <w:right w:type="dxa" w:w="120"/>
            </w:tcMar>
          </w:tcPr>
          <w:p>
            <w:r>
              <w:rPr>
                <w:rFonts w:ascii="Calibri" w:cs="Calibri" w:eastAsia="Calibri" w:hAnsi="Calibri"/>
                <w:i w:val="false"/>
                <w:iCs w:val="false"/>
                <w:color w:val="1A1A1A"/>
                <w:sz w:val="20"/>
                <w:szCs w:val="20"/>
              </w:rPr>
              <w:t xml:space="preserve">HTTPS, token-based authentication, rate limiting, DDoS protection</w:t>
            </w:r>
          </w:p>
        </w:tc>
      </w:tr>
    </w:tbl>
    <w:p>
      <w:pPr>
        <w:spacing w:after="0" w:before="200"/>
      </w:pPr>
    </w:p>
    <w:p>
      <w:pPr>
        <w:pBdr>
          <w:bottom w:val="single" w:color="C9A84C" w:sz="4" w:space="4"/>
        </w:pBdr>
        <w:spacing w:after="120" w:before="360"/>
      </w:pPr>
      <w:r>
        <w:rPr>
          <w:rFonts w:ascii="Calibri" w:cs="Calibri" w:eastAsia="Calibri" w:hAnsi="Calibri"/>
          <w:b/>
          <w:bCs/>
          <w:caps/>
          <w:color w:val="1A1A1A"/>
          <w:spacing w:val="40"/>
          <w:sz w:val="28"/>
          <w:szCs w:val="28"/>
        </w:rPr>
        <w:t xml:space="preserve">5. Compliance &amp; Player Protection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E8D0" w:sz="1"/>
              <w:left w:val="single" w:color="D0E8D0" w:sz="1"/>
              <w:bottom w:val="single" w:color="D0E8D0" w:sz="1"/>
              <w:right w:val="single" w:color="D0E8D0" w:sz="1"/>
            </w:tcBorders>
            <w:shd w:fill="F0F8F0" w:val="clear"/>
            <w:tcMar>
              <w:top w:type="dxa" w:w="100"/>
              <w:left w:type="dxa" w:w="160"/>
              <w:bottom w:type="dxa" w:w="100"/>
              <w:right w:type="dxa" w:w="120"/>
            </w:tcMar>
          </w:tcPr>
          <w:p>
            <w:r>
              <w:rPr>
                <w:rFonts w:ascii="Calibri" w:cs="Calibri" w:eastAsia="Calibri" w:hAnsi="Calibri"/>
                <w:b/>
                <w:bCs/>
                <w:color w:val="2A6A2A"/>
                <w:sz w:val="20"/>
                <w:szCs w:val="20"/>
              </w:rPr>
              <w:t xml:space="preserve">AML / KYC Policy</w:t>
            </w:r>
          </w:p>
        </w:tc>
        <w:tc>
          <w:tcPr>
            <w:tcW w:type="dxa" w:w="6160"/>
            <w:tcBorders>
              <w:top w:val="single" w:color="D0E8D0" w:sz="1"/>
              <w:left w:val="single" w:color="D0E8D0" w:sz="1"/>
              <w:bottom w:val="single" w:color="D0E8D0" w:sz="1"/>
              <w:right w:val="single" w:color="D0E8D0" w:sz="1"/>
            </w:tcBorders>
            <w:shd w:fill="FAFCFA" w:val="clear"/>
            <w:tcMar>
              <w:top w:type="dxa" w:w="100"/>
              <w:left w:type="dxa" w:w="160"/>
              <w:bottom w:type="dxa" w:w="100"/>
              <w:right w:type="dxa" w:w="120"/>
            </w:tcMar>
          </w:tcPr>
          <w:p>
            <w:r>
              <w:rPr>
                <w:rFonts w:ascii="Calibri" w:cs="Calibri" w:eastAsia="Calibri" w:hAnsi="Calibri"/>
                <w:color w:val="333333"/>
                <w:sz w:val="20"/>
                <w:szCs w:val="20"/>
              </w:rPr>
              <w:t xml:space="preserve">Full KYC verification required before any withdrawal. Documents verified within 48 hours.</w:t>
            </w:r>
          </w:p>
        </w:tc>
      </w:tr>
      <w:tr>
        <w:tc>
          <w:tcPr>
            <w:tcW w:type="dxa" w:w="3200"/>
            <w:tcBorders>
              <w:top w:val="single" w:color="D0E8D0" w:sz="1"/>
              <w:left w:val="single" w:color="D0E8D0" w:sz="1"/>
              <w:bottom w:val="single" w:color="D0E8D0" w:sz="1"/>
              <w:right w:val="single" w:color="D0E8D0" w:sz="1"/>
            </w:tcBorders>
            <w:shd w:fill="F0F8F0" w:val="clear"/>
            <w:tcMar>
              <w:top w:type="dxa" w:w="100"/>
              <w:left w:type="dxa" w:w="160"/>
              <w:bottom w:type="dxa" w:w="100"/>
              <w:right w:type="dxa" w:w="120"/>
            </w:tcMar>
          </w:tcPr>
          <w:p>
            <w:r>
              <w:rPr>
                <w:rFonts w:ascii="Calibri" w:cs="Calibri" w:eastAsia="Calibri" w:hAnsi="Calibri"/>
                <w:b/>
                <w:bCs/>
                <w:color w:val="2A6A2A"/>
                <w:sz w:val="20"/>
                <w:szCs w:val="20"/>
              </w:rPr>
              <w:t xml:space="preserve">Responsible Gambling</w:t>
            </w:r>
          </w:p>
        </w:tc>
        <w:tc>
          <w:tcPr>
            <w:tcW w:type="dxa" w:w="6160"/>
            <w:tcBorders>
              <w:top w:val="single" w:color="D0E8D0" w:sz="1"/>
              <w:left w:val="single" w:color="D0E8D0" w:sz="1"/>
              <w:bottom w:val="single" w:color="D0E8D0" w:sz="1"/>
              <w:right w:val="single" w:color="D0E8D0" w:sz="1"/>
            </w:tcBorders>
            <w:shd w:fill="FAFCFA" w:val="clear"/>
            <w:tcMar>
              <w:top w:type="dxa" w:w="100"/>
              <w:left w:type="dxa" w:w="160"/>
              <w:bottom w:type="dxa" w:w="100"/>
              <w:right w:type="dxa" w:w="120"/>
            </w:tcMar>
          </w:tcPr>
          <w:p>
            <w:r>
              <w:rPr>
                <w:rFonts w:ascii="Calibri" w:cs="Calibri" w:eastAsia="Calibri" w:hAnsi="Calibri"/>
                <w:color w:val="333333"/>
                <w:sz w:val="20"/>
                <w:szCs w:val="20"/>
              </w:rPr>
              <w:t xml:space="preserve">Self-exclusion, deposit limits, and reality checks available to all players.</w:t>
            </w:r>
          </w:p>
        </w:tc>
      </w:tr>
      <w:tr>
        <w:tc>
          <w:tcPr>
            <w:tcW w:type="dxa" w:w="3200"/>
            <w:tcBorders>
              <w:top w:val="single" w:color="D0E8D0" w:sz="1"/>
              <w:left w:val="single" w:color="D0E8D0" w:sz="1"/>
              <w:bottom w:val="single" w:color="D0E8D0" w:sz="1"/>
              <w:right w:val="single" w:color="D0E8D0" w:sz="1"/>
            </w:tcBorders>
            <w:shd w:fill="F0F8F0" w:val="clear"/>
            <w:tcMar>
              <w:top w:type="dxa" w:w="100"/>
              <w:left w:type="dxa" w:w="160"/>
              <w:bottom w:type="dxa" w:w="100"/>
              <w:right w:type="dxa" w:w="120"/>
            </w:tcMar>
          </w:tcPr>
          <w:p>
            <w:r>
              <w:rPr>
                <w:rFonts w:ascii="Calibri" w:cs="Calibri" w:eastAsia="Calibri" w:hAnsi="Calibri"/>
                <w:b/>
                <w:bCs/>
                <w:color w:val="2A6A2A"/>
                <w:sz w:val="20"/>
                <w:szCs w:val="20"/>
              </w:rPr>
              <w:t xml:space="preserve">Age Verification</w:t>
            </w:r>
          </w:p>
        </w:tc>
        <w:tc>
          <w:tcPr>
            <w:tcW w:type="dxa" w:w="6160"/>
            <w:tcBorders>
              <w:top w:val="single" w:color="D0E8D0" w:sz="1"/>
              <w:left w:val="single" w:color="D0E8D0" w:sz="1"/>
              <w:bottom w:val="single" w:color="D0E8D0" w:sz="1"/>
              <w:right w:val="single" w:color="D0E8D0" w:sz="1"/>
            </w:tcBorders>
            <w:shd w:fill="FAFCFA" w:val="clear"/>
            <w:tcMar>
              <w:top w:type="dxa" w:w="100"/>
              <w:left w:type="dxa" w:w="160"/>
              <w:bottom w:type="dxa" w:w="100"/>
              <w:right w:type="dxa" w:w="120"/>
            </w:tcMar>
          </w:tcPr>
          <w:p>
            <w:r>
              <w:rPr>
                <w:rFonts w:ascii="Calibri" w:cs="Calibri" w:eastAsia="Calibri" w:hAnsi="Calibri"/>
                <w:color w:val="333333"/>
                <w:sz w:val="20"/>
                <w:szCs w:val="20"/>
              </w:rPr>
              <w:t xml:space="preserve">Mandatory 18+ verification for all players upon registration.</w:t>
            </w:r>
          </w:p>
        </w:tc>
      </w:tr>
      <w:tr>
        <w:tc>
          <w:tcPr>
            <w:tcW w:type="dxa" w:w="3200"/>
            <w:tcBorders>
              <w:top w:val="single" w:color="D0E8D0" w:sz="1"/>
              <w:left w:val="single" w:color="D0E8D0" w:sz="1"/>
              <w:bottom w:val="single" w:color="D0E8D0" w:sz="1"/>
              <w:right w:val="single" w:color="D0E8D0" w:sz="1"/>
            </w:tcBorders>
            <w:shd w:fill="F0F8F0" w:val="clear"/>
            <w:tcMar>
              <w:top w:type="dxa" w:w="100"/>
              <w:left w:type="dxa" w:w="160"/>
              <w:bottom w:type="dxa" w:w="100"/>
              <w:right w:type="dxa" w:w="120"/>
            </w:tcMar>
          </w:tcPr>
          <w:p>
            <w:r>
              <w:rPr>
                <w:rFonts w:ascii="Calibri" w:cs="Calibri" w:eastAsia="Calibri" w:hAnsi="Calibri"/>
                <w:b/>
                <w:bCs/>
                <w:color w:val="2A6A2A"/>
                <w:sz w:val="20"/>
                <w:szCs w:val="20"/>
              </w:rPr>
              <w:t xml:space="preserve">Restricted Jurisdictions</w:t>
            </w:r>
          </w:p>
        </w:tc>
        <w:tc>
          <w:tcPr>
            <w:tcW w:type="dxa" w:w="6160"/>
            <w:tcBorders>
              <w:top w:val="single" w:color="D0E8D0" w:sz="1"/>
              <w:left w:val="single" w:color="D0E8D0" w:sz="1"/>
              <w:bottom w:val="single" w:color="D0E8D0" w:sz="1"/>
              <w:right w:val="single" w:color="D0E8D0" w:sz="1"/>
            </w:tcBorders>
            <w:shd w:fill="FAFCFA" w:val="clear"/>
            <w:tcMar>
              <w:top w:type="dxa" w:w="100"/>
              <w:left w:type="dxa" w:w="160"/>
              <w:bottom w:type="dxa" w:w="100"/>
              <w:right w:type="dxa" w:w="120"/>
            </w:tcMar>
          </w:tcPr>
          <w:p>
            <w:r>
              <w:rPr>
                <w:rFonts w:ascii="Calibri" w:cs="Calibri" w:eastAsia="Calibri" w:hAnsi="Calibri"/>
                <w:color w:val="333333"/>
                <w:sz w:val="20"/>
                <w:szCs w:val="20"/>
              </w:rPr>
              <w:t xml:space="preserve">USA, United Kingdom, France, Netherlands, Spain, Italy, Belgium, Australia.</w:t>
            </w:r>
          </w:p>
        </w:tc>
      </w:tr>
      <w:tr>
        <w:tc>
          <w:tcPr>
            <w:tcW w:type="dxa" w:w="3200"/>
            <w:tcBorders>
              <w:top w:val="single" w:color="D0E8D0" w:sz="1"/>
              <w:left w:val="single" w:color="D0E8D0" w:sz="1"/>
              <w:bottom w:val="single" w:color="D0E8D0" w:sz="1"/>
              <w:right w:val="single" w:color="D0E8D0" w:sz="1"/>
            </w:tcBorders>
            <w:shd w:fill="F0F8F0" w:val="clear"/>
            <w:tcMar>
              <w:top w:type="dxa" w:w="100"/>
              <w:left w:type="dxa" w:w="160"/>
              <w:bottom w:type="dxa" w:w="100"/>
              <w:right w:type="dxa" w:w="120"/>
            </w:tcMar>
          </w:tcPr>
          <w:p>
            <w:r>
              <w:rPr>
                <w:rFonts w:ascii="Calibri" w:cs="Calibri" w:eastAsia="Calibri" w:hAnsi="Calibri"/>
                <w:b/>
                <w:bCs/>
                <w:color w:val="2A6A2A"/>
                <w:sz w:val="20"/>
                <w:szCs w:val="20"/>
              </w:rPr>
              <w:t xml:space="preserve">Data Protection</w:t>
            </w:r>
          </w:p>
        </w:tc>
        <w:tc>
          <w:tcPr>
            <w:tcW w:type="dxa" w:w="6160"/>
            <w:tcBorders>
              <w:top w:val="single" w:color="D0E8D0" w:sz="1"/>
              <w:left w:val="single" w:color="D0E8D0" w:sz="1"/>
              <w:bottom w:val="single" w:color="D0E8D0" w:sz="1"/>
              <w:right w:val="single" w:color="D0E8D0" w:sz="1"/>
            </w:tcBorders>
            <w:shd w:fill="FAFCFA" w:val="clear"/>
            <w:tcMar>
              <w:top w:type="dxa" w:w="100"/>
              <w:left w:type="dxa" w:w="160"/>
              <w:bottom w:type="dxa" w:w="100"/>
              <w:right w:type="dxa" w:w="120"/>
            </w:tcMar>
          </w:tcPr>
          <w:p>
            <w:r>
              <w:rPr>
                <w:rFonts w:ascii="Calibri" w:cs="Calibri" w:eastAsia="Calibri" w:hAnsi="Calibri"/>
                <w:color w:val="333333"/>
                <w:sz w:val="20"/>
                <w:szCs w:val="20"/>
              </w:rPr>
              <w:t xml:space="preserve">GDPR compliant. Full Privacy Policy and Data Processing agreements in place.</w:t>
            </w:r>
          </w:p>
        </w:tc>
      </w:tr>
      <w:tr>
        <w:tc>
          <w:tcPr>
            <w:tcW w:type="dxa" w:w="3200"/>
            <w:tcBorders>
              <w:top w:val="single" w:color="D0E8D0" w:sz="1"/>
              <w:left w:val="single" w:color="D0E8D0" w:sz="1"/>
              <w:bottom w:val="single" w:color="D0E8D0" w:sz="1"/>
              <w:right w:val="single" w:color="D0E8D0" w:sz="1"/>
            </w:tcBorders>
            <w:shd w:fill="F0F8F0" w:val="clear"/>
            <w:tcMar>
              <w:top w:type="dxa" w:w="100"/>
              <w:left w:type="dxa" w:w="160"/>
              <w:bottom w:type="dxa" w:w="100"/>
              <w:right w:type="dxa" w:w="120"/>
            </w:tcMar>
          </w:tcPr>
          <w:p>
            <w:r>
              <w:rPr>
                <w:rFonts w:ascii="Calibri" w:cs="Calibri" w:eastAsia="Calibri" w:hAnsi="Calibri"/>
                <w:b/>
                <w:bCs/>
                <w:color w:val="2A6A2A"/>
                <w:sz w:val="20"/>
                <w:szCs w:val="20"/>
              </w:rPr>
              <w:t xml:space="preserve">Governing Law</w:t>
            </w:r>
          </w:p>
        </w:tc>
        <w:tc>
          <w:tcPr>
            <w:tcW w:type="dxa" w:w="6160"/>
            <w:tcBorders>
              <w:top w:val="single" w:color="D0E8D0" w:sz="1"/>
              <w:left w:val="single" w:color="D0E8D0" w:sz="1"/>
              <w:bottom w:val="single" w:color="D0E8D0" w:sz="1"/>
              <w:right w:val="single" w:color="D0E8D0" w:sz="1"/>
            </w:tcBorders>
            <w:shd w:fill="FAFCFA" w:val="clear"/>
            <w:tcMar>
              <w:top w:type="dxa" w:w="100"/>
              <w:left w:type="dxa" w:w="160"/>
              <w:bottom w:type="dxa" w:w="100"/>
              <w:right w:type="dxa" w:w="120"/>
            </w:tcMar>
          </w:tcPr>
          <w:p>
            <w:r>
              <w:rPr>
                <w:rFonts w:ascii="Calibri" w:cs="Calibri" w:eastAsia="Calibri" w:hAnsi="Calibri"/>
                <w:color w:val="333333"/>
                <w:sz w:val="20"/>
                <w:szCs w:val="20"/>
              </w:rPr>
              <w:t xml:space="preserve">Anjouan, Union of Comoros.</w:t>
            </w:r>
          </w:p>
        </w:tc>
      </w:tr>
      <w:tr>
        <w:tc>
          <w:tcPr>
            <w:tcW w:type="dxa" w:w="3200"/>
            <w:tcBorders>
              <w:top w:val="single" w:color="D0E8D0" w:sz="1"/>
              <w:left w:val="single" w:color="D0E8D0" w:sz="1"/>
              <w:bottom w:val="single" w:color="D0E8D0" w:sz="1"/>
              <w:right w:val="single" w:color="D0E8D0" w:sz="1"/>
            </w:tcBorders>
            <w:shd w:fill="F0F8F0" w:val="clear"/>
            <w:tcMar>
              <w:top w:type="dxa" w:w="100"/>
              <w:left w:type="dxa" w:w="160"/>
              <w:bottom w:type="dxa" w:w="100"/>
              <w:right w:type="dxa" w:w="120"/>
            </w:tcMar>
          </w:tcPr>
          <w:p>
            <w:r>
              <w:rPr>
                <w:rFonts w:ascii="Calibri" w:cs="Calibri" w:eastAsia="Calibri" w:hAnsi="Calibri"/>
                <w:b/>
                <w:bCs/>
                <w:color w:val="2A6A2A"/>
                <w:sz w:val="20"/>
                <w:szCs w:val="20"/>
              </w:rPr>
              <w:t xml:space="preserve">Platform URL</w:t>
            </w:r>
          </w:p>
        </w:tc>
        <w:tc>
          <w:tcPr>
            <w:tcW w:type="dxa" w:w="6160"/>
            <w:tcBorders>
              <w:top w:val="single" w:color="D0E8D0" w:sz="1"/>
              <w:left w:val="single" w:color="D0E8D0" w:sz="1"/>
              <w:bottom w:val="single" w:color="D0E8D0" w:sz="1"/>
              <w:right w:val="single" w:color="D0E8D0" w:sz="1"/>
            </w:tcBorders>
            <w:shd w:fill="FAFCFA" w:val="clear"/>
            <w:tcMar>
              <w:top w:type="dxa" w:w="100"/>
              <w:left w:type="dxa" w:w="160"/>
              <w:bottom w:type="dxa" w:w="100"/>
              <w:right w:type="dxa" w:w="120"/>
            </w:tcMar>
          </w:tcPr>
          <w:p>
            <w:r>
              <w:rPr>
                <w:rFonts w:ascii="Calibri" w:cs="Calibri" w:eastAsia="Calibri" w:hAnsi="Calibri"/>
                <w:color w:val="333333"/>
                <w:sz w:val="20"/>
                <w:szCs w:val="20"/>
              </w:rPr>
              <w:t xml:space="preserve">[TO BE FILLED — your casino domain]</w:t>
            </w:r>
          </w:p>
        </w:tc>
      </w:tr>
      <w:tr>
        <w:tc>
          <w:tcPr>
            <w:tcW w:type="dxa" w:w="3200"/>
            <w:tcBorders>
              <w:top w:val="single" w:color="D0E8D0" w:sz="1"/>
              <w:left w:val="single" w:color="D0E8D0" w:sz="1"/>
              <w:bottom w:val="single" w:color="D0E8D0" w:sz="1"/>
              <w:right w:val="single" w:color="D0E8D0" w:sz="1"/>
            </w:tcBorders>
            <w:shd w:fill="F0F8F0" w:val="clear"/>
            <w:tcMar>
              <w:top w:type="dxa" w:w="100"/>
              <w:left w:type="dxa" w:w="160"/>
              <w:bottom w:type="dxa" w:w="100"/>
              <w:right w:type="dxa" w:w="120"/>
            </w:tcMar>
          </w:tcPr>
          <w:p>
            <w:r>
              <w:rPr>
                <w:rFonts w:ascii="Calibri" w:cs="Calibri" w:eastAsia="Calibri" w:hAnsi="Calibri"/>
                <w:b/>
                <w:bCs/>
                <w:color w:val="2A6A2A"/>
                <w:sz w:val="20"/>
                <w:szCs w:val="20"/>
              </w:rPr>
              <w:t xml:space="preserve">Contact Email</w:t>
            </w:r>
          </w:p>
        </w:tc>
        <w:tc>
          <w:tcPr>
            <w:tcW w:type="dxa" w:w="6160"/>
            <w:tcBorders>
              <w:top w:val="single" w:color="D0E8D0" w:sz="1"/>
              <w:left w:val="single" w:color="D0E8D0" w:sz="1"/>
              <w:bottom w:val="single" w:color="D0E8D0" w:sz="1"/>
              <w:right w:val="single" w:color="D0E8D0" w:sz="1"/>
            </w:tcBorders>
            <w:shd w:fill="FAFCFA" w:val="clear"/>
            <w:tcMar>
              <w:top w:type="dxa" w:w="100"/>
              <w:left w:type="dxa" w:w="160"/>
              <w:bottom w:type="dxa" w:w="100"/>
              <w:right w:type="dxa" w:w="120"/>
            </w:tcMar>
          </w:tcPr>
          <w:p>
            <w:r>
              <w:rPr>
                <w:rFonts w:ascii="Calibri" w:cs="Calibri" w:eastAsia="Calibri" w:hAnsi="Calibri"/>
                <w:color w:val="333333"/>
                <w:sz w:val="20"/>
                <w:szCs w:val="20"/>
              </w:rPr>
              <w:t xml:space="preserve">[TO BE FILLED — support / compliance email]</w:t>
            </w:r>
          </w:p>
        </w:tc>
      </w:tr>
      <w:tr>
        <w:tc>
          <w:tcPr>
            <w:tcW w:type="dxa" w:w="3200"/>
            <w:tcBorders>
              <w:top w:val="single" w:color="D0E8D0" w:sz="1"/>
              <w:left w:val="single" w:color="D0E8D0" w:sz="1"/>
              <w:bottom w:val="single" w:color="D0E8D0" w:sz="1"/>
              <w:right w:val="single" w:color="D0E8D0" w:sz="1"/>
            </w:tcBorders>
            <w:shd w:fill="F0F8F0" w:val="clear"/>
            <w:tcMar>
              <w:top w:type="dxa" w:w="100"/>
              <w:left w:type="dxa" w:w="160"/>
              <w:bottom w:type="dxa" w:w="100"/>
              <w:right w:type="dxa" w:w="120"/>
            </w:tcMar>
          </w:tcPr>
          <w:p>
            <w:r>
              <w:rPr>
                <w:rFonts w:ascii="Calibri" w:cs="Calibri" w:eastAsia="Calibri" w:hAnsi="Calibri"/>
                <w:b/>
                <w:bCs/>
                <w:color w:val="2A6A2A"/>
                <w:sz w:val="20"/>
                <w:szCs w:val="20"/>
              </w:rPr>
              <w:t xml:space="preserve">Policies Published</w:t>
            </w:r>
          </w:p>
        </w:tc>
        <w:tc>
          <w:tcPr>
            <w:tcW w:type="dxa" w:w="6160"/>
            <w:tcBorders>
              <w:top w:val="single" w:color="D0E8D0" w:sz="1"/>
              <w:left w:val="single" w:color="D0E8D0" w:sz="1"/>
              <w:bottom w:val="single" w:color="D0E8D0" w:sz="1"/>
              <w:right w:val="single" w:color="D0E8D0" w:sz="1"/>
            </w:tcBorders>
            <w:shd w:fill="FAFCFA" w:val="clear"/>
            <w:tcMar>
              <w:top w:type="dxa" w:w="100"/>
              <w:left w:type="dxa" w:w="160"/>
              <w:bottom w:type="dxa" w:w="100"/>
              <w:right w:type="dxa" w:w="120"/>
            </w:tcMar>
          </w:tcPr>
          <w:p>
            <w:r>
              <w:rPr>
                <w:rFonts w:ascii="Calibri" w:cs="Calibri" w:eastAsia="Calibri" w:hAnsi="Calibri"/>
                <w:color w:val="333333"/>
                <w:sz w:val="20"/>
                <w:szCs w:val="20"/>
              </w:rPr>
              <w:t xml:space="preserve">Terms &amp; Conditions, Privacy Policy, AML Policy, Responsible Gambling Policy — all publicly accessible on the platform.</w:t>
            </w:r>
          </w:p>
        </w:tc>
      </w:tr>
    </w:tbl>
    <w:p>
      <w:pPr>
        <w:spacing w:after="0" w:before="200"/>
      </w:pPr>
    </w:p>
    <w:p>
      <w:pPr>
        <w:pBdr>
          <w:bottom w:val="single" w:color="C9A84C" w:sz="4" w:space="4"/>
        </w:pBdr>
        <w:spacing w:after="120" w:before="360"/>
      </w:pPr>
      <w:r>
        <w:rPr>
          <w:rFonts w:ascii="Calibri" w:cs="Calibri" w:eastAsia="Calibri" w:hAnsi="Calibri"/>
          <w:b/>
          <w:bCs/>
          <w:caps/>
          <w:color w:val="1A1A1A"/>
          <w:spacing w:val="40"/>
          <w:sz w:val="28"/>
          <w:szCs w:val="28"/>
        </w:rPr>
        <w:t xml:space="preserve">6. Target Markets</w:t>
      </w:r>
    </w:p>
    <w:p>
      <w:pPr>
        <w:spacing w:after="0" w:before="80"/>
      </w:pPr>
    </w:p>
    <w:p>
      <w:pPr>
        <w:spacing w:after="120" w:before="80"/>
      </w:pPr>
      <w:r>
        <w:rPr>
          <w:rFonts w:ascii="Calibri" w:cs="Calibri" w:eastAsia="Calibri" w:hAnsi="Calibri"/>
          <w:color w:val="333333"/>
          <w:sz w:val="20"/>
          <w:szCs w:val="20"/>
        </w:rPr>
        <w:t xml:space="preserve">HATHOR Royal Casino primarily targets players in the following regions:</w:t>
      </w:r>
    </w:p>
    <w:p>
      <w:pPr>
        <w:spacing w:after="0" w:before="40"/>
      </w:pPr>
    </w:p>
    <w:p>
      <w:pPr>
        <w:pStyle w:val="ListParagraph"/>
        <w:numPr>
          <w:ilvl w:val="0"/>
          <w:numId w:val="2"/>
        </w:numPr>
        <w:spacing w:after="40" w:before="40"/>
      </w:pPr>
      <w:r>
        <w:rPr>
          <w:rFonts w:ascii="Calibri" w:cs="Calibri" w:eastAsia="Calibri" w:hAnsi="Calibri"/>
          <w:color w:val="333333"/>
          <w:sz w:val="20"/>
          <w:szCs w:val="20"/>
        </w:rPr>
        <w:t xml:space="preserve">Central &amp; Eastern Europe (Poland, Czech Republic, Slovakia, Hungary, Romania, Bulgaria, Croatia, Serbia)</w:t>
      </w:r>
    </w:p>
    <w:p>
      <w:pPr>
        <w:pStyle w:val="ListParagraph"/>
        <w:numPr>
          <w:ilvl w:val="0"/>
          <w:numId w:val="2"/>
        </w:numPr>
        <w:spacing w:after="40" w:before="40"/>
      </w:pPr>
      <w:r>
        <w:rPr>
          <w:rFonts w:ascii="Calibri" w:cs="Calibri" w:eastAsia="Calibri" w:hAnsi="Calibri"/>
          <w:color w:val="333333"/>
          <w:sz w:val="20"/>
          <w:szCs w:val="20"/>
        </w:rPr>
        <w:t xml:space="preserve">Western Europe — unregulated markets (Austria, Switzerland, Finland, Norway, Iceland, Cyprus, Malta, Greece, Portugal)</w:t>
      </w:r>
    </w:p>
    <w:p>
      <w:pPr>
        <w:pStyle w:val="ListParagraph"/>
        <w:numPr>
          <w:ilvl w:val="0"/>
          <w:numId w:val="2"/>
        </w:numPr>
        <w:spacing w:after="40" w:before="40"/>
      </w:pPr>
      <w:r>
        <w:rPr>
          <w:rFonts w:ascii="Calibri" w:cs="Calibri" w:eastAsia="Calibri" w:hAnsi="Calibri"/>
          <w:color w:val="333333"/>
          <w:sz w:val="20"/>
          <w:szCs w:val="20"/>
        </w:rPr>
        <w:t xml:space="preserve">Baltic &amp; Nordic (Estonia, Latvia, Lithuania, Denmark, Sweden — where permitted)</w:t>
      </w:r>
    </w:p>
    <w:p>
      <w:pPr>
        <w:pStyle w:val="ListParagraph"/>
        <w:numPr>
          <w:ilvl w:val="0"/>
          <w:numId w:val="2"/>
        </w:numPr>
        <w:spacing w:after="40" w:before="40"/>
      </w:pPr>
      <w:r>
        <w:rPr>
          <w:rFonts w:ascii="Calibri" w:cs="Calibri" w:eastAsia="Calibri" w:hAnsi="Calibri"/>
          <w:color w:val="333333"/>
          <w:sz w:val="20"/>
          <w:szCs w:val="20"/>
        </w:rPr>
        <w:t xml:space="preserve">CIS Countries (Ukraine, Kazakhstan, Georgia, Armenia, Azerbaijan)</w:t>
      </w:r>
    </w:p>
    <w:p>
      <w:pPr>
        <w:pStyle w:val="ListParagraph"/>
        <w:numPr>
          <w:ilvl w:val="0"/>
          <w:numId w:val="2"/>
        </w:numPr>
        <w:spacing w:after="40" w:before="40"/>
      </w:pPr>
      <w:r>
        <w:rPr>
          <w:rFonts w:ascii="Calibri" w:cs="Calibri" w:eastAsia="Calibri" w:hAnsi="Calibri"/>
          <w:color w:val="333333"/>
          <w:sz w:val="20"/>
          <w:szCs w:val="20"/>
        </w:rPr>
        <w:t xml:space="preserve">Asia (India, Vietnam, Thailand, Philippines, Bangladesh, Indonesia)</w:t>
      </w:r>
    </w:p>
    <w:p>
      <w:pPr>
        <w:pStyle w:val="ListParagraph"/>
        <w:numPr>
          <w:ilvl w:val="0"/>
          <w:numId w:val="2"/>
        </w:numPr>
        <w:spacing w:after="40" w:before="40"/>
      </w:pPr>
      <w:r>
        <w:rPr>
          <w:rFonts w:ascii="Calibri" w:cs="Calibri" w:eastAsia="Calibri" w:hAnsi="Calibri"/>
          <w:color w:val="333333"/>
          <w:sz w:val="20"/>
          <w:szCs w:val="20"/>
        </w:rPr>
        <w:t xml:space="preserve">Middle East (Gulf states, Turkey, Egypt, Jordan, Lebanon)</w:t>
      </w:r>
    </w:p>
    <w:p>
      <w:pPr>
        <w:pStyle w:val="ListParagraph"/>
        <w:numPr>
          <w:ilvl w:val="0"/>
          <w:numId w:val="2"/>
        </w:numPr>
        <w:spacing w:after="40" w:before="40"/>
      </w:pPr>
      <w:r>
        <w:rPr>
          <w:rFonts w:ascii="Calibri" w:cs="Calibri" w:eastAsia="Calibri" w:hAnsi="Calibri"/>
          <w:color w:val="333333"/>
          <w:sz w:val="20"/>
          <w:szCs w:val="20"/>
        </w:rPr>
        <w:t xml:space="preserve">Latin America (Brazil, Mexico, Colombia, Argentina, Chile, Peru)</w:t>
      </w:r>
    </w:p>
    <w:p>
      <w:pPr>
        <w:pStyle w:val="ListParagraph"/>
        <w:numPr>
          <w:ilvl w:val="0"/>
          <w:numId w:val="2"/>
        </w:numPr>
        <w:spacing w:after="40" w:before="40"/>
      </w:pPr>
      <w:r>
        <w:rPr>
          <w:rFonts w:ascii="Calibri" w:cs="Calibri" w:eastAsia="Calibri" w:hAnsi="Calibri"/>
          <w:color w:val="333333"/>
          <w:sz w:val="20"/>
          <w:szCs w:val="20"/>
        </w:rPr>
        <w:t xml:space="preserve">Africa (Nigeria, South Africa, Kenya, Ghana)</w:t>
      </w:r>
    </w:p>
    <w:p>
      <w:pPr>
        <w:spacing w:after="0" w:before="120"/>
      </w:pPr>
    </w:p>
    <w:p>
      <w:pPr>
        <w:spacing w:after="120" w:before="80"/>
      </w:pPr>
      <w:r>
        <w:rPr>
          <w:rFonts w:ascii="Calibri" w:cs="Calibri" w:eastAsia="Calibri" w:hAnsi="Calibri"/>
          <w:i/>
          <w:iCs/>
          <w:color w:val="666666"/>
          <w:sz w:val="20"/>
          <w:szCs w:val="20"/>
        </w:rPr>
        <w:t xml:space="preserve">Note: The platform does not accept players from jurisdictions where online gambling is explicitly prohibited or where a local licence is mandatory (USA, UK, France, Netherlands, Spain, Italy, Belgium, Australia). All player geo-blocking is enforced at the platform level.</w:t>
      </w:r>
    </w:p>
    <w:p>
      <w:pPr>
        <w:spacing w:after="0" w:before="280"/>
      </w:pPr>
    </w:p>
    <w:p>
      <w:pPr>
        <w:pBdr>
          <w:top w:val="single" w:color="CCCCAA" w:sz="2" w:space="4"/>
        </w:pBdr>
        <w:spacing w:after="80" w:before="200"/>
      </w:pPr>
      <w:r>
        <w:rPr>
          <w:rFonts w:ascii="Calibri" w:cs="Calibri" w:eastAsia="Calibri" w:hAnsi="Calibri"/>
          <w:b/>
          <w:bCs/>
          <w:color w:val="444422"/>
          <w:sz w:val="22"/>
          <w:szCs w:val="22"/>
        </w:rPr>
        <w:t xml:space="preserve">Declaration</w:t>
      </w:r>
    </w:p>
    <w:p>
      <w:pPr>
        <w:spacing w:after="120" w:before="80"/>
      </w:pPr>
      <w:r>
        <w:rPr>
          <w:rFonts w:ascii="Calibri" w:cs="Calibri" w:eastAsia="Calibri" w:hAnsi="Calibri"/>
          <w:color w:val="333333"/>
          <w:sz w:val="20"/>
          <w:szCs w:val="20"/>
        </w:rPr>
        <w:t xml:space="preserve">I hereby declare that all information provided in this application is true, accurate, and complete to the best of my knowledge. HATHOR Royal Ltd. commits to full compliance with Anjouan Online Gaming Commission regulations and all applicable laws.</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single" w:color="333333" w:sz="1"/>
              <w:right w:val="none" w:color="FFFFFF" w:sz="0"/>
            </w:tcBorders>
            <w:tcMar>
              <w:top w:type="dxa" w:w="40"/>
              <w:left w:type="dxa" w:w="0"/>
              <w:bottom w:type="dxa" w:w="40"/>
              <w:right w:type="dxa" w:w="0"/>
            </w:tcMar>
          </w:tcPr>
          <w:p>
            <w:pPr>
              <w:spacing w:after="120" w:before="80"/>
            </w:pPr>
            <w:r>
              <w:rPr>
                <w:rFonts w:ascii="Calibri" w:cs="Calibri" w:eastAsia="Calibri" w:hAnsi="Calibri"/>
                <w:color w:val="333333"/>
                <w:sz w:val="20"/>
                <w:szCs w:val="20"/>
              </w:rPr>
              <w:t xml:space="preserve"> </w:t>
            </w:r>
          </w:p>
          <w:p>
            <w:pPr>
              <w:spacing w:after="120" w:before="80"/>
            </w:pPr>
            <w:r>
              <w:rPr>
                <w:rFonts w:ascii="Calibri" w:cs="Calibri" w:eastAsia="Calibri" w:hAnsi="Calibri"/>
                <w:color w:val="888888"/>
                <w:sz w:val="18"/>
                <w:szCs w:val="18"/>
              </w:rPr>
              <w:t xml:space="preserve">Signature &amp; Stamp</w:t>
            </w:r>
          </w:p>
        </w:tc>
        <w:tc>
          <w:tcPr>
            <w:tcW w:type="dxa" w:w="4860"/>
            <w:tcBorders>
              <w:top w:val="none" w:color="FFFFFF" w:sz="0"/>
              <w:left w:val="none" w:color="FFFFFF" w:sz="0"/>
              <w:bottom w:val="single" w:color="333333" w:sz="1"/>
              <w:right w:val="none" w:color="FFFFFF" w:sz="0"/>
            </w:tcBorders>
            <w:tcMar>
              <w:top w:type="dxa" w:w="40"/>
              <w:left w:type="dxa" w:w="120"/>
              <w:bottom w:type="dxa" w:w="40"/>
              <w:right w:type="dxa" w:w="0"/>
            </w:tcMar>
          </w:tcPr>
          <w:p>
            <w:pPr>
              <w:spacing w:after="120" w:before="80"/>
            </w:pPr>
            <w:r>
              <w:rPr>
                <w:rFonts w:ascii="Calibri" w:cs="Calibri" w:eastAsia="Calibri" w:hAnsi="Calibri"/>
                <w:color w:val="333333"/>
                <w:sz w:val="20"/>
                <w:szCs w:val="20"/>
              </w:rPr>
              <w:t xml:space="preserve"> </w:t>
            </w:r>
          </w:p>
          <w:p>
            <w:pPr>
              <w:spacing w:after="120" w:before="80"/>
            </w:pPr>
            <w:r>
              <w:rPr>
                <w:rFonts w:ascii="Calibri" w:cs="Calibri" w:eastAsia="Calibri" w:hAnsi="Calibri"/>
                <w:color w:val="888888"/>
                <w:sz w:val="18"/>
                <w:szCs w:val="18"/>
              </w:rPr>
              <w:t xml:space="preserve">Date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3" w:space="4"/>
      </w:pBdr>
      <w:spacing w:before="80"/>
      <w:jc w:val="center"/>
    </w:pPr>
    <w:r>
      <w:rPr>
        <w:rFonts w:ascii="Calibri" w:cs="Calibri" w:eastAsia="Calibri" w:hAnsi="Calibri"/>
        <w:color w:val="AAAAAA"/>
        <w:sz w:val="16"/>
        <w:szCs w:val="16"/>
      </w:rPr>
      <w:t xml:space="preserve">CONFIDENTIAL · HATHOR Royal Ltd. · hathor.casino · Page </w:t>
    </w:r>
    <w:r>
      <w:rPr>
        <w:rFonts w:ascii="Calibri" w:cs="Calibri" w:eastAsia="Calibri" w:hAnsi="Calibri"/>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3" w:space="4"/>
      </w:pBdr>
      <w:spacing w:after="80" w:before="0"/>
    </w:pPr>
    <w:r>
      <w:rPr>
        <w:rFonts w:ascii="Calibri" w:cs="Calibri" w:eastAsia="Calibri" w:hAnsi="Calibri"/>
        <w:b/>
        <w:bCs/>
        <w:caps/>
        <w:color w:val="C9A84C"/>
        <w:sz w:val="18"/>
        <w:szCs w:val="18"/>
      </w:rPr>
      <w:t xml:space="preserve">HATHOR ROYAL CASINO</w:t>
    </w:r>
    <w:r>
      <w:rPr>
        <w:rFonts w:ascii="Calibri" w:cs="Calibri" w:eastAsia="Calibri" w:hAnsi="Calibri"/>
        <w:color w:val="888888"/>
        <w:sz w:val="18"/>
        <w:szCs w:val="18"/>
      </w:rPr>
      <w:t xml:space="preserve">  —  Gaming License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2026-04-14T06:29:41.931Z</dcterms:created>
  <dcterms:modified xsi:type="dcterms:W3CDTF">2026-04-14T06:29:41.932Z</dcterms:modified>
</cp:coreProperties>
</file>

<file path=docProps/custom.xml><?xml version="1.0" encoding="utf-8"?>
<Properties xmlns="http://schemas.openxmlformats.org/officeDocument/2006/custom-properties" xmlns:vt="http://schemas.openxmlformats.org/officeDocument/2006/docPropsVTypes"/>
</file>