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91fd61041e4a4e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PostSys — архитектура Domain-Driven Design</w:t>
      </w:r>
    </w:p>
    <w:p>
      <w:r>
        <w:t>Описание слоёв, границ, потоков команд/запросов и ключевых паттернов.</w:t>
      </w:r>
    </w:p>
    <w:p>
      <w:r>
        <w:t>Дата: 2026-10-17</w:t>
      </w:r>
    </w:p>
    <w:p>
      <w:pPr>
        <w:pStyle w:val="Heading2"/>
      </w:pPr>
      <w:r>
        <w:t>1. Цель и контекст</w:t>
      </w:r>
    </w:p>
    <w:p>
      <w:r>
        <w:t>PostSys — система учёта почтовых отправлений: сервис (ASP.NET + HotChocolate GraphQL + SignalR + PostgreSQL) и мобильный клиент почтальона (Avalonia Android/iOS). Домен моделирует клиентов, почтальонов и посылки.</w:t>
      </w:r>
    </w:p>
    <w:p>
      <w:pPr>
        <w:pStyle w:val="Heading2"/>
      </w:pPr>
      <w:r>
        <w:t>2. Слои и проекты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Слой</w:t>
            </w:r>
          </w:p>
        </w:tc>
        <w:tc>
          <w:p>
            <w:r>
              <w:rPr>
                <w:b/>
              </w:rPr>
              <w:t>Проект</w:t>
            </w:r>
          </w:p>
        </w:tc>
        <w:tc>
          <w:p>
            <w:r>
              <w:rPr>
                <w:b/>
              </w:rPr>
              <w:t>Ответственность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postSys.domain</w:t>
            </w:r>
          </w:p>
        </w:tc>
        <w:tc>
          <w:p>
            <w:r>
              <w:t>Агрегаты, VO, domain events, порты репозиториев/checkers</w:t>
            </w:r>
          </w:p>
        </w:tc>
      </w:tr>
      <w:tr>
        <w:tc>
          <w:p>
            <w:r>
              <w:t>Application</w:t>
            </w:r>
          </w:p>
        </w:tc>
        <w:tc>
          <w:p>
            <w:r>
              <w:t>postSys.application</w:t>
            </w:r>
          </w:p>
        </w:tc>
        <w:tc>
          <w:p>
            <w:r>
              <w:t>CQRS-команды (MediatR), query-порты, DTO, IDomainEventHandler</w:t>
            </w:r>
          </w:p>
        </w:tc>
      </w:tr>
      <w:tr>
        <w:tc>
          <w:p>
            <w:r>
              <w:t>Infrastructure / DAL</w:t>
            </w:r>
          </w:p>
        </w:tc>
        <w:tc>
          <w:p>
            <w:r>
              <w:t>postSys.dal</w:t>
            </w:r>
          </w:p>
        </w:tc>
        <w:tc>
          <w:p>
            <w:r>
              <w:t>EF Core Write/Read DbContext, UoW, репозитории, миграции</w:t>
            </w:r>
          </w:p>
        </w:tc>
      </w:tr>
      <w:tr>
        <w:tc>
          <w:p>
            <w:r>
              <w:t>Service (API)</w:t>
            </w:r>
          </w:p>
        </w:tc>
        <w:tc>
          <w:p>
            <w:r>
              <w:t>postSys.service</w:t>
            </w:r>
          </w:p>
        </w:tc>
        <w:tc>
          <w:p>
            <w:r>
              <w:t>Composition root, GraphQL, SignalR, публикация subscription-топиков</w:t>
            </w:r>
          </w:p>
        </w:tc>
      </w:tr>
      <w:tr>
        <w:tc>
          <w:p>
            <w:r>
              <w:t>ReadModels</w:t>
            </w:r>
          </w:p>
        </w:tc>
        <w:tc>
          <w:p>
            <w:r>
              <w:t>postSys.readModels</w:t>
            </w:r>
          </w:p>
        </w:tc>
        <w:tc>
          <w:p>
            <w:r>
              <w:t>Контракты чтения и realtime-сообщений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>postSys.client</w:t>
            </w:r>
          </w:p>
        </w:tc>
        <w:tc>
          <w:p>
            <w:r>
              <w:t>GraphQL/SignalR клиенты для GUI</w:t>
            </w:r>
          </w:p>
        </w:tc>
      </w:tr>
      <w:tr>
        <w:tc>
          <w:p>
            <w:r>
              <w:t>GUI</w:t>
            </w:r>
          </w:p>
        </w:tc>
        <w:tc>
          <w:p>
            <w:r>
              <w:t>postSys.gui + Android/iOS</w:t>
            </w:r>
          </w:p>
        </w:tc>
        <w:tc>
          <w:p>
            <w:r>
              <w:t>Avalonia UI (только mobile hosts)</w:t>
            </w:r>
          </w:p>
        </w:tc>
      </w:tr>
    </w:tbl>
    <w:p/>
    <w:p>
      <w:r>
        <w:t>Правило зависимостей: Domain ← Application ← DAL ← Service. Client/GUI зависят только от Client + ReadModels, не от Domain.</w:t>
      </w:r>
    </w:p>
    <w:p>
      <w:pPr>
        <w:pStyle w:val="Heading2"/>
      </w:pPr>
      <w:r>
        <w:t>3. Стратегический дизайн</w:t>
      </w:r>
    </w:p>
    <w:p>
      <w:r>
        <w:t>Один bounded context «Доставка»: Client, Postman, Package. Отдельных bounded contexts (биллинг, маршрутизация) нет. Shared Kernel: ISoftDelete, базовые типы в common.</w:t>
      </w:r>
    </w:p>
    <w:p>
      <w:pPr>
        <w:pStyle w:val="Heading2"/>
      </w:pPr>
      <w:r>
        <w:t>4. Тактический дизайн</w:t>
      </w:r>
    </w:p>
    <w:p>
      <w:r>
        <w:t>Aggregate roots с инвариантами внутри границ. Value objects с фабриками Result. Domain events накапливаются в агрегате и диспатчатся после commit Unit of Work. Domain services как checkers (I*ParametersChecker), реализуемые в DAL.</w:t>
      </w:r>
    </w:p>
    <w:p>
      <w:pPr>
        <w:pStyle w:val="Heading2"/>
      </w:pPr>
      <w:r>
        <w:t>5. Поток записи (Command)</w:t>
      </w:r>
    </w:p>
    <w:p>
      <w:r>
        <w:t>GUI → GraphQL Mutation → MediatR CommandHandler → Aggregate + Repository → UnitOfWorkBehavior.Commit → SaveChanges + TX → DomainEventDispatcher → Service EventHandlers → HotChocolate ITopicEventSender → Client SubscriptionClient → GUI.</w:t>
      </w:r>
    </w:p>
    <w:p>
      <w:pPr>
        <w:pStyle w:val="Heading2"/>
      </w:pPr>
      <w:r>
        <w:t>6. Поток чтения (Query)</w:t>
      </w:r>
    </w:p>
    <w:p>
      <w:r>
        <w:t>GraphQL Query → I*Queries (Application ports) → *Queries на ReadDbContext → ReadModels → ответ. Queries не через MediatR.</w:t>
      </w:r>
    </w:p>
    <w:p>
      <w:pPr>
        <w:pStyle w:val="Heading2"/>
      </w:pPr>
      <w:r>
        <w:t>7. Аутентификация почтальона</w:t>
      </w:r>
    </w:p>
    <w:p>
      <w:r>
        <w:t>AuthorizePostman → IPostmanQueries.AuthenticateAsync → ReadDbContext + IPasswordHasher.Verify. JWT/Keycloak не используются (осознанное упрощение для текущего масштаба).</w:t>
      </w:r>
    </w:p>
    <w:p>
      <w:pPr>
        <w:pStyle w:val="Heading2"/>
      </w:pPr>
      <w:r>
        <w:t>8. Realtime</w:t>
      </w:r>
    </w:p>
    <w:p>
      <w:r>
        <w:t>SignalR NotificationHub — доступность сервиса (ReceiveServiceStatus). Синхронизация сущностей — GraphQL subscriptions по domain events, не через SignalR payload.</w:t>
      </w:r>
    </w:p>
    <w:p>
      <w:pPr>
        <w:pStyle w:val="Heading2"/>
      </w:pPr>
      <w:r>
        <w:t>9. CQRS и персистентность</w:t>
      </w:r>
    </w:p>
    <w:p>
      <w:r>
        <w:t>Одна БД PostgreSQL, два DbContext: Write (трекинг агрегатов) и Read (NoTracking read models). Soft-delete global query filters. Именование snake_case (EFCore.NamingConventions).</w:t>
      </w:r>
    </w:p>
    <w:p>
      <w:pPr>
        <w:pStyle w:val="Heading2"/>
      </w:pPr>
      <w:r>
        <w:t>10. Каталог команд Application</w:t>
      </w:r>
    </w:p>
    <w:p>
      <w:r>
        <w:t>Clients: CreateClient, ChangeClientFullname, ChangeClientPhoneNumber, DeleteClient.</w:t>
      </w:r>
    </w:p>
    <w:p>
      <w:r>
        <w:t>Packages: CreatePackage, ChangePackage, ChangePackageDimensions, ChangePackageAddress, ChangePackageStatus, DeletePackage.</w:t>
      </w:r>
    </w:p>
    <w:p>
      <w:r>
        <w:t>Postmen: CreatePostman, ChangePostman, ChangePostmanFullname, ChangePostmanEmail, ChangePostmanPassword, DeletePostman.</w:t>
      </w:r>
    </w:p>
    <w:p>
      <w:pPr>
        <w:pStyle w:val="Heading2"/>
      </w:pPr>
      <w:r>
        <w:t>11. Мобильный GUI</w:t>
      </w:r>
    </w:p>
    <w:p>
      <w:r>
        <w:t>Общая библиотека postSys.gui (ViewModels, MainView, overlays). Хосты: postSys.gui.Android, postSys.gui.iOS. Desktop host удалён. Настройки и «О программе» на mobile — overlay, не отдельные окна ОС.</w:t>
      </w:r>
    </w:p>
    <w:p>
      <w:pPr>
        <w:pStyle w:val="Heading2"/>
      </w:pPr>
      <w:r>
        <w:t>12. Инфраструктура запуска</w:t>
      </w:r>
    </w:p>
    <w:p>
      <w:r>
        <w:t>Docker Compose поднимает PostgreSQL + backend; миграции применяются при старте сервиса (MigrateDatabaseAsync). Mobile APK/IPA в Docker не включаются — избыточно для runtime; сборка идёт локально/в CI на эмулятор или устройство.</w:t>
      </w:r>
    </w:p>
    <w:p>
      <w:pPr>
        <w:pStyle w:val="Heading2"/>
      </w:pPr>
      <w:r>
        <w:t>13. Рекомендации по эволюции</w:t>
      </w:r>
    </w:p>
    <w:p>
      <w:r>
        <w:t>При росте: JWT/OIDC, outbox для domain events, отдельные read-проекции, явная связь Postman↔Package через FK/уникальный индекс, интеграционные тесты GraphQL subscriptions, hardening CORS и секретов Docker.</w:t>
      </w:r>
    </w:p>
  </w:body>
</w:document>
</file>