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E5D56" w14:textId="3C252FD4" w:rsidR="00E93E29" w:rsidRPr="00AF00F7" w:rsidRDefault="009B2917">
      <w:pPr>
        <w:rPr>
          <w:rFonts w:ascii="Arial" w:hAnsi="Arial" w:cs="Arial"/>
          <w:b/>
          <w:sz w:val="24"/>
        </w:rPr>
      </w:pPr>
      <w:r w:rsidRPr="00AF00F7">
        <w:rPr>
          <w:rFonts w:ascii="Arial" w:hAnsi="Arial" w:cs="Arial"/>
          <w:b/>
          <w:sz w:val="24"/>
        </w:rPr>
        <w:t>Use of the “</w:t>
      </w:r>
      <w:proofErr w:type="spellStart"/>
      <w:r w:rsidR="004A6750" w:rsidRPr="00AF00F7">
        <w:rPr>
          <w:rFonts w:ascii="Arial" w:hAnsi="Arial" w:cs="Arial"/>
          <w:b/>
          <w:sz w:val="24"/>
        </w:rPr>
        <w:t>SpatialDecon</w:t>
      </w:r>
      <w:proofErr w:type="spellEnd"/>
      <w:r w:rsidRPr="00AF00F7">
        <w:rPr>
          <w:rFonts w:ascii="Arial" w:hAnsi="Arial" w:cs="Arial"/>
          <w:b/>
          <w:sz w:val="24"/>
        </w:rPr>
        <w:t xml:space="preserve">” DSP DA </w:t>
      </w:r>
      <w:r w:rsidR="007F6FF9">
        <w:rPr>
          <w:rFonts w:ascii="Arial" w:hAnsi="Arial" w:cs="Arial"/>
          <w:b/>
          <w:sz w:val="24"/>
        </w:rPr>
        <w:t>Script</w:t>
      </w:r>
      <w:r w:rsidR="00D60ACE">
        <w:rPr>
          <w:rFonts w:ascii="Arial" w:hAnsi="Arial" w:cs="Arial"/>
          <w:b/>
          <w:sz w:val="24"/>
        </w:rPr>
        <w:t xml:space="preserve"> version 1.1</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4E2771D" w14:textId="6F6CB75C" w:rsidR="001E2F96" w:rsidRDefault="00DC55AC" w:rsidP="006B47B7">
      <w:pPr>
        <w:pStyle w:val="NormalWeb"/>
        <w:shd w:val="clear" w:color="auto" w:fill="FFFFFF"/>
        <w:spacing w:before="120" w:after="120"/>
        <w:rPr>
          <w:rFonts w:ascii="Arial" w:hAnsi="Arial" w:cs="Arial"/>
          <w:color w:val="000000"/>
          <w:sz w:val="22"/>
          <w:szCs w:val="22"/>
        </w:rPr>
      </w:pPr>
      <w:r w:rsidRPr="00AF00F7">
        <w:rPr>
          <w:rFonts w:ascii="Arial" w:hAnsi="Arial" w:cs="Arial"/>
          <w:color w:val="000000"/>
          <w:sz w:val="22"/>
          <w:szCs w:val="22"/>
        </w:rPr>
        <w:t xml:space="preserve">This </w:t>
      </w:r>
      <w:r w:rsidR="007F6FF9">
        <w:rPr>
          <w:rFonts w:ascii="Arial" w:hAnsi="Arial" w:cs="Arial"/>
          <w:color w:val="000000"/>
          <w:sz w:val="22"/>
          <w:szCs w:val="22"/>
        </w:rPr>
        <w:t>script</w:t>
      </w:r>
      <w:r w:rsidRPr="00AF00F7">
        <w:rPr>
          <w:rFonts w:ascii="Arial" w:hAnsi="Arial" w:cs="Arial"/>
          <w:color w:val="000000"/>
          <w:sz w:val="22"/>
          <w:szCs w:val="22"/>
        </w:rPr>
        <w:t xml:space="preserve"> was designed for data from GeoMx </w:t>
      </w:r>
      <w:r w:rsidR="004A6750" w:rsidRPr="00AF00F7">
        <w:rPr>
          <w:rFonts w:ascii="Arial" w:hAnsi="Arial" w:cs="Arial"/>
          <w:color w:val="000000"/>
          <w:sz w:val="22"/>
          <w:szCs w:val="22"/>
        </w:rPr>
        <w:t xml:space="preserve">high-plex RNA assays, such as the CTA </w:t>
      </w:r>
      <w:r w:rsidR="007F6FF9">
        <w:rPr>
          <w:rFonts w:ascii="Arial" w:hAnsi="Arial" w:cs="Arial"/>
          <w:color w:val="000000"/>
          <w:sz w:val="22"/>
          <w:szCs w:val="22"/>
        </w:rPr>
        <w:t>NGS readout application</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87B9AAC" w14:textId="4342B78A" w:rsidR="001E579C" w:rsidRPr="00AF00F7" w:rsidRDefault="006B47B7" w:rsidP="009F0397">
      <w:pPr>
        <w:pStyle w:val="NormalWeb"/>
        <w:shd w:val="clear" w:color="auto" w:fill="FFFFFF"/>
        <w:spacing w:before="120" w:after="120"/>
        <w:rPr>
          <w:rFonts w:ascii="Arial" w:hAnsi="Arial" w:cs="Arial"/>
          <w:color w:val="000000"/>
          <w:sz w:val="22"/>
          <w:szCs w:val="22"/>
        </w:rPr>
      </w:pPr>
      <w:r w:rsidRPr="006B47B7">
        <w:rPr>
          <w:rFonts w:ascii="Arial" w:hAnsi="Arial" w:cs="Arial"/>
          <w:color w:val="000000"/>
          <w:sz w:val="22"/>
          <w:szCs w:val="22"/>
        </w:rPr>
        <w:t>IMPORTANT: please use the appropriate cell profile matrix that represents</w:t>
      </w:r>
      <w:r w:rsidR="001E2F96">
        <w:rPr>
          <w:rFonts w:ascii="Arial" w:hAnsi="Arial" w:cs="Arial"/>
          <w:color w:val="000000"/>
          <w:sz w:val="22"/>
          <w:szCs w:val="22"/>
        </w:rPr>
        <w:t xml:space="preserve"> </w:t>
      </w:r>
      <w:r w:rsidRPr="006B47B7">
        <w:rPr>
          <w:rFonts w:ascii="Arial" w:hAnsi="Arial" w:cs="Arial"/>
          <w:color w:val="000000"/>
          <w:sz w:val="22"/>
          <w:szCs w:val="22"/>
        </w:rPr>
        <w:t>the tissue type of interest as this will affect the cell abundance/proportion scores</w:t>
      </w:r>
      <w:r w:rsidR="001E2F96">
        <w:rPr>
          <w:rFonts w:ascii="Arial" w:hAnsi="Arial" w:cs="Arial"/>
          <w:color w:val="000000"/>
          <w:sz w:val="22"/>
          <w:szCs w:val="22"/>
        </w:rPr>
        <w:t xml:space="preserve">. </w:t>
      </w:r>
      <w:r w:rsidRPr="006B47B7">
        <w:rPr>
          <w:rFonts w:ascii="Arial" w:hAnsi="Arial" w:cs="Arial"/>
          <w:color w:val="000000"/>
          <w:sz w:val="22"/>
          <w:szCs w:val="22"/>
        </w:rPr>
        <w:t xml:space="preserve">The default matrix below is for Solid Tumor </w:t>
      </w:r>
      <w:proofErr w:type="spellStart"/>
      <w:r w:rsidRPr="006B47B7">
        <w:rPr>
          <w:rFonts w:ascii="Arial" w:hAnsi="Arial" w:cs="Arial"/>
          <w:color w:val="000000"/>
          <w:sz w:val="22"/>
          <w:szCs w:val="22"/>
        </w:rPr>
        <w:t>GeoMx</w:t>
      </w:r>
      <w:proofErr w:type="spellEnd"/>
      <w:r w:rsidRPr="006B47B7">
        <w:rPr>
          <w:rFonts w:ascii="Arial" w:hAnsi="Arial" w:cs="Arial"/>
          <w:color w:val="000000"/>
          <w:sz w:val="22"/>
          <w:szCs w:val="22"/>
        </w:rPr>
        <w:t xml:space="preserve"> data.</w:t>
      </w:r>
    </w:p>
    <w:p w14:paraId="7DE8DF7D" w14:textId="77777777" w:rsidR="007F6FF9" w:rsidRDefault="007F6FF9" w:rsidP="001E579C">
      <w:pPr>
        <w:pStyle w:val="NormalWeb"/>
        <w:shd w:val="clear" w:color="auto" w:fill="FFFFFF"/>
        <w:spacing w:before="120" w:beforeAutospacing="0" w:after="120" w:afterAutospacing="0"/>
        <w:rPr>
          <w:rFonts w:ascii="Arial" w:hAnsi="Arial" w:cs="Arial"/>
          <w:color w:val="000000"/>
          <w:sz w:val="22"/>
          <w:szCs w:val="22"/>
        </w:rPr>
      </w:pPr>
    </w:p>
    <w:p w14:paraId="7187F46F" w14:textId="77777777" w:rsidR="00C43F7B" w:rsidRPr="009F0397" w:rsidRDefault="007F6FF9" w:rsidP="001E579C">
      <w:pPr>
        <w:pStyle w:val="NormalWeb"/>
        <w:shd w:val="clear" w:color="auto" w:fill="FFFFFF"/>
        <w:spacing w:before="120" w:beforeAutospacing="0" w:after="120" w:afterAutospacing="0"/>
        <w:rPr>
          <w:rFonts w:ascii="Arial" w:hAnsi="Arial"/>
          <w:b/>
          <w:color w:val="000000"/>
          <w:sz w:val="22"/>
        </w:rPr>
      </w:pPr>
      <w:r w:rsidRPr="009F0397">
        <w:rPr>
          <w:rFonts w:ascii="Arial" w:hAnsi="Arial" w:cs="Arial"/>
          <w:b/>
          <w:bCs/>
          <w:color w:val="000000"/>
          <w:sz w:val="22"/>
          <w:szCs w:val="22"/>
        </w:rPr>
        <w:t>Relevant Resources</w:t>
      </w:r>
    </w:p>
    <w:p w14:paraId="00AAAC51"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complete description of 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algorithm is at </w:t>
      </w:r>
      <w:hyperlink r:id="rId8" w:history="1">
        <w:r w:rsidRPr="00AF00F7">
          <w:rPr>
            <w:rStyle w:val="Hyperlink"/>
            <w:rFonts w:ascii="Arial" w:hAnsi="Arial" w:cs="Arial"/>
            <w:sz w:val="22"/>
            <w:szCs w:val="22"/>
          </w:rPr>
          <w:t>https://www.biorxiv.org/content/10.1101/2020.08.04.235168v2</w:t>
        </w:r>
      </w:hyperlink>
    </w:p>
    <w:p w14:paraId="2EA13F92"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w:t>
      </w:r>
      <w:proofErr w:type="spellStart"/>
      <w:r w:rsidRPr="00AF00F7">
        <w:rPr>
          <w:rFonts w:ascii="Arial" w:hAnsi="Arial" w:cs="Arial"/>
          <w:color w:val="000000"/>
          <w:sz w:val="22"/>
          <w:szCs w:val="22"/>
        </w:rPr>
        <w:t>github</w:t>
      </w:r>
      <w:proofErr w:type="spellEnd"/>
      <w:r w:rsidRPr="00AF00F7">
        <w:rPr>
          <w:rFonts w:ascii="Arial" w:hAnsi="Arial" w:cs="Arial"/>
          <w:color w:val="000000"/>
          <w:sz w:val="22"/>
          <w:szCs w:val="22"/>
        </w:rPr>
        <w:t xml:space="preserve"> page is </w:t>
      </w:r>
      <w:hyperlink r:id="rId9"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4BA4E0A6" w14:textId="77777777" w:rsidR="007F6FF9" w:rsidRPr="009F0397" w:rsidRDefault="007F6FF9" w:rsidP="001E579C">
      <w:pPr>
        <w:pStyle w:val="NormalWeb"/>
        <w:shd w:val="clear" w:color="auto" w:fill="FFFFFF"/>
        <w:spacing w:before="120" w:beforeAutospacing="0" w:after="120" w:afterAutospacing="0"/>
        <w:rPr>
          <w:rFonts w:ascii="Arial" w:hAnsi="Arial" w:cs="Arial"/>
          <w:b/>
          <w:bCs/>
          <w:color w:val="000000"/>
          <w:sz w:val="22"/>
          <w:szCs w:val="22"/>
        </w:rPr>
      </w:pPr>
    </w:p>
    <w:p w14:paraId="01EC4E47" w14:textId="3AB116B0"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 xml:space="preserve">Running the </w:t>
      </w:r>
      <w:r w:rsidR="007F6FF9">
        <w:rPr>
          <w:rFonts w:ascii="Arial" w:hAnsi="Arial" w:cs="Arial"/>
          <w:b/>
          <w:color w:val="000000"/>
          <w:sz w:val="22"/>
          <w:szCs w:val="22"/>
        </w:rPr>
        <w:t>script</w:t>
      </w:r>
    </w:p>
    <w:p w14:paraId="1081A570" w14:textId="36C039F3"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2B319D22" w14:textId="402BE05E" w:rsidR="00780E4F" w:rsidRPr="00AF00F7"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w:t>
      </w:r>
      <w:r w:rsidR="007F6FF9">
        <w:rPr>
          <w:rFonts w:ascii="Arial" w:hAnsi="Arial" w:cs="Arial"/>
          <w:color w:val="000000"/>
          <w:sz w:val="22"/>
          <w:szCs w:val="22"/>
        </w:rPr>
        <w:t>Example</w:t>
      </w:r>
      <w:r w:rsidRPr="00AF00F7">
        <w:rPr>
          <w:rFonts w:ascii="Arial" w:hAnsi="Arial" w:cs="Arial"/>
          <w:color w:val="000000"/>
          <w:sz w:val="22"/>
          <w:szCs w:val="22"/>
        </w:rPr>
        <w:t xml:space="preserve"> matrices can be found </w:t>
      </w:r>
      <w:r w:rsidR="007F6FF9">
        <w:rPr>
          <w:rFonts w:ascii="Arial" w:hAnsi="Arial" w:cs="Arial"/>
          <w:color w:val="000000"/>
          <w:sz w:val="22"/>
          <w:szCs w:val="22"/>
        </w:rPr>
        <w:t xml:space="preserve">at </w:t>
      </w:r>
      <w:hyperlink r:id="rId10" w:history="1">
        <w:r w:rsidRPr="00AF00F7">
          <w:rPr>
            <w:rStyle w:val="Hyperlink"/>
            <w:rFonts w:ascii="Arial" w:hAnsi="Arial" w:cs="Arial"/>
            <w:sz w:val="22"/>
            <w:szCs w:val="22"/>
          </w:rPr>
          <w:t>https://github.com/Nanostring-Biostats/CellProfileLibrary</w:t>
        </w:r>
      </w:hyperlink>
      <w:r w:rsidRPr="00AF00F7">
        <w:rPr>
          <w:rFonts w:ascii="Arial" w:hAnsi="Arial" w:cs="Arial"/>
          <w:color w:val="000000"/>
          <w:sz w:val="22"/>
          <w:szCs w:val="22"/>
        </w:rPr>
        <w:t xml:space="preserve">. For tumor immune deconvolution, use the file “safeTME-for-tumor-immune.csv”, which is provided along with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code. </w:t>
      </w:r>
      <w:r w:rsidR="007F4446" w:rsidRPr="00AF00F7">
        <w:rPr>
          <w:rFonts w:ascii="Arial" w:hAnsi="Arial" w:cs="Arial"/>
          <w:color w:val="000000"/>
          <w:sz w:val="22"/>
          <w:szCs w:val="22"/>
        </w:rPr>
        <w:t xml:space="preserve">To use a custom matrix, make sure it matches the format of the matrices referenced above. </w:t>
      </w:r>
    </w:p>
    <w:p w14:paraId="37F3B260" w14:textId="31A6EF3C"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In addition,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’s </w:t>
      </w:r>
      <w:r w:rsidRPr="00AF00F7">
        <w:rPr>
          <w:rFonts w:ascii="Arial" w:hAnsi="Arial" w:cs="Arial"/>
          <w:color w:val="000000"/>
          <w:sz w:val="22"/>
          <w:szCs w:val="22"/>
        </w:rPr>
        <w:t xml:space="preserve">code. </w:t>
      </w:r>
      <w:r w:rsidR="008D16E2" w:rsidRPr="00AF00F7">
        <w:rPr>
          <w:rFonts w:ascii="Arial" w:hAnsi="Arial" w:cs="Arial"/>
          <w:color w:val="000000"/>
          <w:sz w:val="22"/>
          <w:szCs w:val="22"/>
        </w:rPr>
        <w:t xml:space="preserve">Instructions for how to use these arguments are in-line in the </w:t>
      </w:r>
      <w:r w:rsidR="007F6FF9">
        <w:rPr>
          <w:rFonts w:ascii="Arial" w:hAnsi="Arial" w:cs="Arial"/>
          <w:color w:val="000000"/>
          <w:sz w:val="22"/>
          <w:szCs w:val="22"/>
        </w:rPr>
        <w:t>script</w:t>
      </w:r>
      <w:r w:rsidR="002210F7" w:rsidRPr="00AF00F7">
        <w:rPr>
          <w:rFonts w:ascii="Arial" w:hAnsi="Arial" w:cs="Arial"/>
          <w:color w:val="000000"/>
          <w:sz w:val="22"/>
          <w:szCs w:val="22"/>
        </w:rPr>
        <w:t xml:space="preserve">’s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cell_profile_filename</w:t>
      </w:r>
      <w:proofErr w:type="spellEnd"/>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pure_tumor_column_name</w:t>
      </w:r>
      <w:proofErr w:type="spellEnd"/>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t xml:space="preserve">To use this argument, enter the name of a column in the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415527D0"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lastRenderedPageBreak/>
        <w:t>variables_to_plot</w:t>
      </w:r>
      <w:proofErr w:type="spellEnd"/>
      <w:r w:rsidR="005D05E6" w:rsidRPr="00AF00F7">
        <w:rPr>
          <w:rFonts w:ascii="Arial" w:hAnsi="Arial" w:cs="Arial"/>
          <w:color w:val="000000"/>
          <w:sz w:val="22"/>
          <w:szCs w:val="22"/>
        </w:rPr>
        <w:t xml:space="preserve">: </w:t>
      </w:r>
      <w:r w:rsidR="005160EE">
        <w:rPr>
          <w:rFonts w:ascii="Arial" w:hAnsi="Arial" w:cs="Arial"/>
          <w:color w:val="000000"/>
          <w:sz w:val="22"/>
          <w:szCs w:val="22"/>
        </w:rPr>
        <w:t>Enter</w:t>
      </w:r>
      <w:r w:rsidRPr="00AF00F7">
        <w:rPr>
          <w:rFonts w:ascii="Arial" w:hAnsi="Arial" w:cs="Arial"/>
          <w:color w:val="000000"/>
          <w:sz w:val="22"/>
          <w:szCs w:val="22"/>
        </w:rPr>
        <w:t xml:space="preserve"> column names of any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xml:space="preserve"> variables that you’d like to appear in plots. </w:t>
      </w:r>
      <w:r w:rsidR="005160EE">
        <w:rPr>
          <w:rFonts w:ascii="Arial" w:hAnsi="Arial" w:cs="Arial"/>
          <w:color w:val="000000"/>
          <w:sz w:val="22"/>
          <w:szCs w:val="22"/>
        </w:rPr>
        <w:t>U</w:t>
      </w:r>
      <w:r w:rsidR="00674CF6">
        <w:rPr>
          <w:rFonts w:ascii="Arial" w:hAnsi="Arial" w:cs="Arial"/>
          <w:color w:val="000000"/>
          <w:sz w:val="22"/>
          <w:szCs w:val="22"/>
        </w:rPr>
        <w:t>se column names without special characters such as dashes or spaces</w:t>
      </w:r>
      <w:r w:rsidR="004E4AEF">
        <w:rPr>
          <w:rFonts w:ascii="Arial" w:hAnsi="Arial" w:cs="Arial"/>
          <w:color w:val="000000"/>
          <w:sz w:val="22"/>
          <w:szCs w:val="22"/>
        </w:rPr>
        <w:t>;</w:t>
      </w:r>
      <w:r w:rsidR="0038100A">
        <w:rPr>
          <w:rFonts w:ascii="Arial" w:hAnsi="Arial" w:cs="Arial"/>
          <w:color w:val="000000"/>
          <w:sz w:val="22"/>
          <w:szCs w:val="22"/>
        </w:rPr>
        <w:t xml:space="preserve"> and begin column names with letters, not a number</w:t>
      </w:r>
      <w:r w:rsidR="00674CF6">
        <w:rPr>
          <w:rFonts w:ascii="Arial" w:hAnsi="Arial" w:cs="Arial"/>
          <w:color w:val="000000"/>
          <w:sz w:val="22"/>
          <w:szCs w:val="22"/>
        </w:rPr>
        <w:t xml:space="preserve">. </w:t>
      </w:r>
    </w:p>
    <w:p w14:paraId="438A77AB" w14:textId="6C34A05E"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custom_annotation_coloring</w:t>
      </w:r>
      <w:proofErr w:type="spellEnd"/>
      <w:r w:rsidRPr="00AF00F7">
        <w:rPr>
          <w:rFonts w:ascii="Arial" w:hAnsi="Arial" w:cs="Arial"/>
          <w:color w:val="000000"/>
          <w:sz w:val="22"/>
          <w:szCs w:val="22"/>
        </w:rPr>
        <w:t>: Allows you to define custom coloring for the “</w:t>
      </w:r>
      <w:proofErr w:type="spellStart"/>
      <w:r w:rsidRPr="00AF00F7">
        <w:rPr>
          <w:rFonts w:ascii="Arial" w:hAnsi="Arial" w:cs="Arial"/>
          <w:i/>
          <w:color w:val="000000"/>
          <w:sz w:val="22"/>
          <w:szCs w:val="22"/>
        </w:rPr>
        <w:t>variables_to_plot</w:t>
      </w:r>
      <w:proofErr w:type="spellEnd"/>
      <w:r w:rsidRPr="00AF00F7">
        <w:rPr>
          <w:rFonts w:ascii="Arial" w:hAnsi="Arial" w:cs="Arial"/>
          <w:i/>
          <w:color w:val="000000"/>
          <w:sz w:val="22"/>
          <w:szCs w:val="22"/>
        </w:rPr>
        <w:t>”</w:t>
      </w:r>
      <w:r w:rsidRPr="00AF00F7">
        <w:rPr>
          <w:rFonts w:ascii="Arial" w:hAnsi="Arial" w:cs="Arial"/>
          <w:color w:val="000000"/>
          <w:sz w:val="22"/>
          <w:szCs w:val="22"/>
        </w:rPr>
        <w:t xml:space="preserve">. To enable, set this argument to TRUE, and modify the example syntax provided in the code. Any typos here will cause the </w:t>
      </w:r>
      <w:r w:rsidR="007F6FF9">
        <w:rPr>
          <w:rFonts w:ascii="Arial" w:hAnsi="Arial" w:cs="Arial"/>
          <w:color w:val="000000"/>
          <w:sz w:val="22"/>
          <w:szCs w:val="22"/>
        </w:rPr>
        <w:t>script</w:t>
      </w:r>
      <w:r w:rsidRPr="00AF00F7">
        <w:rPr>
          <w:rFonts w:ascii="Arial" w:hAnsi="Arial" w:cs="Arial"/>
          <w:color w:val="000000"/>
          <w:sz w:val="22"/>
          <w:szCs w:val="22"/>
        </w:rPr>
        <w:t xml:space="preserve">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hmcols</w:t>
      </w:r>
      <w:proofErr w:type="spellEnd"/>
      <w:r w:rsidRPr="00AF00F7">
        <w:rPr>
          <w:rFonts w:ascii="Arial" w:hAnsi="Arial" w:cs="Arial"/>
          <w:color w:val="000000"/>
          <w:sz w:val="22"/>
          <w:szCs w:val="22"/>
        </w:rPr>
        <w:t xml:space="preserve">: Specify a color gradient for heatmaps. </w:t>
      </w:r>
    </w:p>
    <w:p w14:paraId="3AD8F6EE" w14:textId="4615B6B9" w:rsidR="004D3B34" w:rsidRPr="00AF00F7" w:rsidRDefault="004D3B34">
      <w:pPr>
        <w:rPr>
          <w:rFonts w:ascii="Arial" w:eastAsia="Times New Roman" w:hAnsi="Arial" w:cs="Arial"/>
          <w:b/>
          <w:color w:val="000000"/>
        </w:rPr>
      </w:pP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1D08DCE1"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w:t>
      </w:r>
      <w:r w:rsidR="007F6FF9">
        <w:rPr>
          <w:rFonts w:ascii="Arial" w:hAnsi="Arial" w:cs="Arial"/>
        </w:rPr>
        <w:t>.</w:t>
      </w:r>
      <w:r w:rsidR="00780E4F" w:rsidRPr="00AF00F7">
        <w:rPr>
          <w:rFonts w:ascii="Arial" w:hAnsi="Arial" w:cs="Arial"/>
        </w:rPr>
        <w:t xml:space="preserve"> </w:t>
      </w:r>
      <w:r w:rsidR="007F6FF9">
        <w:rPr>
          <w:rFonts w:ascii="Arial" w:hAnsi="Arial" w:cs="Arial"/>
        </w:rPr>
        <w:t>The scores</w:t>
      </w:r>
      <w:r w:rsidR="00780E4F" w:rsidRPr="00AF00F7">
        <w:rPr>
          <w:rFonts w:ascii="Arial" w:hAnsi="Arial" w:cs="Arial"/>
        </w:rPr>
        <w:t xml:space="preserve"> give abundance of each cell type scaled by whatever quantity you used to normalize the data, e.g.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r w:rsidRPr="00AF00F7">
        <w:rPr>
          <w:rFonts w:ascii="Arial" w:hAnsi="Arial" w:cs="Arial"/>
          <w:i/>
        </w:rPr>
        <w:t>Proportions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E.g.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w:t>
      </w:r>
      <w:proofErr w:type="gramStart"/>
      <w:r w:rsidR="00014580" w:rsidRPr="00AF00F7">
        <w:rPr>
          <w:rFonts w:ascii="Arial" w:hAnsi="Arial" w:cs="Arial"/>
        </w:rPr>
        <w:t>tab, but</w:t>
      </w:r>
      <w:proofErr w:type="gramEnd"/>
      <w:r w:rsidR="00014580" w:rsidRPr="00AF00F7">
        <w:rPr>
          <w:rFonts w:ascii="Arial" w:hAnsi="Arial" w:cs="Arial"/>
        </w:rPr>
        <w:t xml:space="preserve">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Segment annotations tab</w:t>
      </w:r>
      <w:r w:rsidR="00C8289E" w:rsidRPr="00AF00F7">
        <w:rPr>
          <w:rFonts w:ascii="Arial" w:hAnsi="Arial" w:cs="Arial"/>
          <w:i/>
        </w:rPr>
        <w:t>:</w:t>
      </w:r>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355533CD" w14:textId="00217152"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3641CE61" w14:textId="036F4C96" w:rsidR="00B82A6C" w:rsidRPr="00AF00F7" w:rsidRDefault="00970B5E" w:rsidP="00780E4F">
      <w:pPr>
        <w:rPr>
          <w:rFonts w:ascii="Arial" w:hAnsi="Arial" w:cs="Arial"/>
        </w:rPr>
      </w:pPr>
      <w:r w:rsidRPr="00970B5E">
        <w:rPr>
          <w:rFonts w:ascii="Arial" w:hAnsi="Arial" w:cs="Arial"/>
          <w:noProof/>
        </w:rPr>
        <w:drawing>
          <wp:inline distT="0" distB="0" distL="0" distR="0" wp14:anchorId="181BFABD" wp14:editId="0B46468A">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F20B4F8" w14:textId="77777777" w:rsidR="007A47F1" w:rsidRDefault="007A47F1" w:rsidP="00B609A7">
      <w:pPr>
        <w:rPr>
          <w:rFonts w:ascii="Arial" w:hAnsi="Arial" w:cs="Arial"/>
          <w:i/>
        </w:rPr>
      </w:pPr>
    </w:p>
    <w:p w14:paraId="2EBD3B31" w14:textId="77777777" w:rsidR="007A47F1" w:rsidRDefault="007A47F1" w:rsidP="00B609A7">
      <w:pPr>
        <w:rPr>
          <w:rFonts w:ascii="Arial" w:hAnsi="Arial" w:cs="Arial"/>
          <w:i/>
        </w:rPr>
      </w:pPr>
    </w:p>
    <w:p w14:paraId="0E36DFBB" w14:textId="24CB8515" w:rsidR="00B609A7" w:rsidRPr="00AF00F7" w:rsidRDefault="00B609A7" w:rsidP="00B609A7">
      <w:pPr>
        <w:rPr>
          <w:rFonts w:ascii="Arial" w:hAnsi="Arial" w:cs="Arial"/>
        </w:rPr>
      </w:pPr>
      <w:r>
        <w:rPr>
          <w:rFonts w:ascii="Arial" w:hAnsi="Arial" w:cs="Arial"/>
          <w:i/>
        </w:rPr>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Example below. This color scheme is activated by using the “</w:t>
      </w:r>
      <w:proofErr w:type="spellStart"/>
      <w:r w:rsidR="00613362">
        <w:rPr>
          <w:rFonts w:ascii="Arial" w:hAnsi="Arial" w:cs="Arial"/>
        </w:rPr>
        <w:t>viridis</w:t>
      </w:r>
      <w:proofErr w:type="spellEnd"/>
      <w:r w:rsidR="00613362">
        <w:rPr>
          <w:rFonts w:ascii="Arial" w:hAnsi="Arial" w:cs="Arial"/>
        </w:rPr>
        <w:t xml:space="preserve"> option B” option in the </w:t>
      </w:r>
      <w:proofErr w:type="spellStart"/>
      <w:r w:rsidR="00613362">
        <w:rPr>
          <w:rFonts w:ascii="Arial" w:hAnsi="Arial" w:cs="Arial"/>
        </w:rPr>
        <w:t>hmcols</w:t>
      </w:r>
      <w:proofErr w:type="spellEnd"/>
      <w:r w:rsidR="00613362">
        <w:rPr>
          <w:rFonts w:ascii="Arial" w:hAnsi="Arial" w:cs="Arial"/>
        </w:rPr>
        <w:t xml:space="preserve">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F146D74">
            <wp:extent cx="5943600" cy="346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t>Scaled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t xml:space="preserve">Cell abundance scores </w:t>
      </w:r>
      <w:proofErr w:type="spellStart"/>
      <w:r>
        <w:rPr>
          <w:rFonts w:ascii="Arial" w:eastAsia="Times New Roman" w:hAnsi="Arial" w:cs="Arial"/>
          <w:i/>
          <w:color w:val="000000"/>
        </w:rPr>
        <w:t>barplot</w:t>
      </w:r>
      <w:proofErr w:type="spellEnd"/>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61BAA42A" w:rsidR="00FB24D4" w:rsidRDefault="00FB24D4" w:rsidP="00FB24D4">
      <w:pPr>
        <w:rPr>
          <w:rFonts w:ascii="Arial" w:eastAsia="Times New Roman" w:hAnsi="Arial" w:cs="Arial"/>
          <w:color w:val="000000"/>
        </w:rPr>
      </w:pPr>
      <w:r>
        <w:rPr>
          <w:rFonts w:ascii="Arial" w:eastAsia="Times New Roman" w:hAnsi="Arial" w:cs="Arial"/>
          <w:i/>
          <w:color w:val="000000"/>
        </w:rPr>
        <w:t xml:space="preserve">Cell proportions </w:t>
      </w:r>
      <w:proofErr w:type="spellStart"/>
      <w:r>
        <w:rPr>
          <w:rFonts w:ascii="Arial" w:eastAsia="Times New Roman" w:hAnsi="Arial" w:cs="Arial"/>
          <w:i/>
          <w:color w:val="000000"/>
        </w:rPr>
        <w:t>barplot</w:t>
      </w:r>
      <w:proofErr w:type="spellEnd"/>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5038CF6D" w14:textId="2E7A5F37" w:rsidR="006669CD" w:rsidRDefault="006669CD" w:rsidP="00FB24D4">
      <w:pPr>
        <w:rPr>
          <w:rFonts w:ascii="Arial" w:eastAsia="Times New Roman" w:hAnsi="Arial" w:cs="Arial"/>
          <w:color w:val="000000"/>
        </w:rPr>
      </w:pPr>
    </w:p>
    <w:p w14:paraId="27A399EC" w14:textId="0BC467A9" w:rsidR="006669CD" w:rsidRPr="00AF00F7" w:rsidRDefault="006669CD" w:rsidP="00FB24D4">
      <w:pPr>
        <w:rPr>
          <w:rFonts w:ascii="Arial" w:eastAsia="Times New Roman" w:hAnsi="Arial" w:cs="Arial"/>
          <w:color w:val="000000"/>
        </w:rPr>
      </w:pPr>
      <w:r>
        <w:rPr>
          <w:noProof/>
        </w:rPr>
        <w:drawing>
          <wp:inline distT="0" distB="0" distL="0" distR="0" wp14:anchorId="08C9776B" wp14:editId="57794010">
            <wp:extent cx="5943600" cy="32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5480"/>
                    </a:xfrm>
                    <a:prstGeom prst="rect">
                      <a:avLst/>
                    </a:prstGeom>
                  </pic:spPr>
                </pic:pic>
              </a:graphicData>
            </a:graphic>
          </wp:inline>
        </w:drawing>
      </w:r>
    </w:p>
    <w:p w14:paraId="6A357C19" w14:textId="619B7B87" w:rsidR="000B6C36" w:rsidRPr="00AF00F7" w:rsidRDefault="000B6C36" w:rsidP="000B6C36">
      <w:pPr>
        <w:rPr>
          <w:rFonts w:ascii="Arial" w:eastAsia="Times New Roman" w:hAnsi="Arial" w:cs="Arial"/>
          <w:color w:val="000000"/>
        </w:rPr>
      </w:pPr>
    </w:p>
    <w:p w14:paraId="3FE1F786" w14:textId="71440477" w:rsidR="000B6C36" w:rsidRPr="000B6C36" w:rsidRDefault="000B6C36" w:rsidP="00780E4F">
      <w:pPr>
        <w:rPr>
          <w:rFonts w:ascii="Arial" w:hAnsi="Arial" w:cs="Arial"/>
          <w:i/>
        </w:rPr>
      </w:pPr>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B2E1A"/>
    <w:rsid w:val="000B6C36"/>
    <w:rsid w:val="00105B8D"/>
    <w:rsid w:val="001C46E2"/>
    <w:rsid w:val="001D1613"/>
    <w:rsid w:val="001E2F96"/>
    <w:rsid w:val="001E579C"/>
    <w:rsid w:val="002210F7"/>
    <w:rsid w:val="0026001B"/>
    <w:rsid w:val="00265953"/>
    <w:rsid w:val="00274886"/>
    <w:rsid w:val="00274B3B"/>
    <w:rsid w:val="002E409A"/>
    <w:rsid w:val="002F4021"/>
    <w:rsid w:val="00331437"/>
    <w:rsid w:val="00374503"/>
    <w:rsid w:val="0038100A"/>
    <w:rsid w:val="003E10E6"/>
    <w:rsid w:val="00402A59"/>
    <w:rsid w:val="00402F6D"/>
    <w:rsid w:val="004511C8"/>
    <w:rsid w:val="0045292E"/>
    <w:rsid w:val="004A1D56"/>
    <w:rsid w:val="004A6750"/>
    <w:rsid w:val="004D3B34"/>
    <w:rsid w:val="004E4AEF"/>
    <w:rsid w:val="005160EE"/>
    <w:rsid w:val="00555C3E"/>
    <w:rsid w:val="0059282B"/>
    <w:rsid w:val="00594DBC"/>
    <w:rsid w:val="005B6E4E"/>
    <w:rsid w:val="005C5D26"/>
    <w:rsid w:val="005D05E6"/>
    <w:rsid w:val="00612BBF"/>
    <w:rsid w:val="00613362"/>
    <w:rsid w:val="00662BCC"/>
    <w:rsid w:val="006669CD"/>
    <w:rsid w:val="00674CF6"/>
    <w:rsid w:val="006B47B7"/>
    <w:rsid w:val="0070443F"/>
    <w:rsid w:val="00745FA0"/>
    <w:rsid w:val="00752109"/>
    <w:rsid w:val="00780E4F"/>
    <w:rsid w:val="00797A6F"/>
    <w:rsid w:val="007A47F1"/>
    <w:rsid w:val="007F4446"/>
    <w:rsid w:val="007F6FF9"/>
    <w:rsid w:val="008036B1"/>
    <w:rsid w:val="00815D5F"/>
    <w:rsid w:val="00825332"/>
    <w:rsid w:val="0084404B"/>
    <w:rsid w:val="008C6195"/>
    <w:rsid w:val="008C6D8D"/>
    <w:rsid w:val="008D16E2"/>
    <w:rsid w:val="008F0EA2"/>
    <w:rsid w:val="009014B2"/>
    <w:rsid w:val="009241AA"/>
    <w:rsid w:val="00970B5E"/>
    <w:rsid w:val="009A6AA6"/>
    <w:rsid w:val="009B2917"/>
    <w:rsid w:val="009F039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234B2"/>
    <w:rsid w:val="00D60ACE"/>
    <w:rsid w:val="00D85289"/>
    <w:rsid w:val="00DC2676"/>
    <w:rsid w:val="00DC45B2"/>
    <w:rsid w:val="00DC55AC"/>
    <w:rsid w:val="00E2628C"/>
    <w:rsid w:val="00E543AC"/>
    <w:rsid w:val="00E743C4"/>
    <w:rsid w:val="00E901B5"/>
    <w:rsid w:val="00E96701"/>
    <w:rsid w:val="00EC5D15"/>
    <w:rsid w:val="00F379AE"/>
    <w:rsid w:val="00F426D7"/>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 w:type="paragraph" w:styleId="Revision">
    <w:name w:val="Revision"/>
    <w:hidden/>
    <w:uiPriority w:val="99"/>
    <w:semiHidden/>
    <w:rsid w:val="009F03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8.04.235168v2" TargetMode="Externa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Nanostring-Biostats/CellProfileLibrary" TargetMode="External"/><Relationship Id="rId4" Type="http://schemas.openxmlformats.org/officeDocument/2006/relationships/numbering" Target="numbering.xml"/><Relationship Id="rId9" Type="http://schemas.openxmlformats.org/officeDocument/2006/relationships/hyperlink" Target="https://github.com/Nanostring-Biostats/SpatialDeco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8EE25D2A4CCF429FF9E8F2EDCDF231" ma:contentTypeVersion="4" ma:contentTypeDescription="Create a new document." ma:contentTypeScope="" ma:versionID="a66fc58676ede860af1d610db671f112">
  <xsd:schema xmlns:xsd="http://www.w3.org/2001/XMLSchema" xmlns:xs="http://www.w3.org/2001/XMLSchema" xmlns:p="http://schemas.microsoft.com/office/2006/metadata/properties" xmlns:ns2="13a51d44-2ee7-445d-a695-10f52412b52d" targetNamespace="http://schemas.microsoft.com/office/2006/metadata/properties" ma:root="true" ma:fieldsID="ab9f2b303865f1bfe319115e62d0a735" ns2:_="">
    <xsd:import namespace="13a51d44-2ee7-445d-a695-10f52412b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51d44-2ee7-445d-a695-10f52412b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C7EF6-646E-47DB-8AE4-B48BE4025B5A}">
  <ds:schemaRefs>
    <ds:schemaRef ds:uri="http://schemas.microsoft.com/sharepoint/v3/contenttype/forms"/>
  </ds:schemaRefs>
</ds:datastoreItem>
</file>

<file path=customXml/itemProps2.xml><?xml version="1.0" encoding="utf-8"?>
<ds:datastoreItem xmlns:ds="http://schemas.openxmlformats.org/officeDocument/2006/customXml" ds:itemID="{02990659-A643-4AD9-B4E7-4F24819A0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51d44-2ee7-445d-a695-10f52412b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65FD0B-F6A8-4876-B90A-01C060167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Ronalyn Vitancol</cp:lastModifiedBy>
  <cp:revision>65</cp:revision>
  <dcterms:created xsi:type="dcterms:W3CDTF">2020-10-07T17:03:00Z</dcterms:created>
  <dcterms:modified xsi:type="dcterms:W3CDTF">2021-04-28T22:27:00Z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0x010100948EE25D2A4CCF429FF9E8F2EDCDF231</vt:lpwstr>
  </property>
</Properties>
</file>