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E4EE" w14:textId="42CB150E" w:rsidR="00404C85" w:rsidRDefault="00404C85" w:rsidP="00404C85">
      <w:pPr>
        <w:rPr>
          <w:rFonts w:ascii="Helvetica" w:hAnsi="Helvetica" w:cs="Helvetica"/>
          <w:b/>
          <w:sz w:val="28"/>
          <w:szCs w:val="28"/>
        </w:rPr>
      </w:pPr>
      <w:bookmarkStart w:id="0" w:name="_Hlk56599550"/>
      <w:bookmarkEnd w:id="0"/>
      <w:r>
        <w:rPr>
          <w:rFonts w:ascii="Helvetica" w:hAnsi="Helvetica" w:cs="Helvetica"/>
          <w:b/>
          <w:sz w:val="28"/>
          <w:szCs w:val="28"/>
        </w:rPr>
        <w:t xml:space="preserve">Use of the </w:t>
      </w:r>
      <w:bookmarkStart w:id="1" w:name="_Hlk65597142"/>
      <w:r>
        <w:rPr>
          <w:rFonts w:ascii="Helvetica" w:hAnsi="Helvetica" w:cs="Helvetica"/>
          <w:b/>
          <w:sz w:val="28"/>
          <w:szCs w:val="28"/>
        </w:rPr>
        <w:t>“</w:t>
      </w:r>
      <w:proofErr w:type="spellStart"/>
      <w:r>
        <w:rPr>
          <w:rFonts w:ascii="Helvetica" w:hAnsi="Helvetica" w:cs="Helvetica"/>
          <w:b/>
          <w:sz w:val="28"/>
          <w:szCs w:val="28"/>
        </w:rPr>
        <w:t>TCR_Analysis</w:t>
      </w:r>
      <w:proofErr w:type="spellEnd"/>
      <w:r>
        <w:rPr>
          <w:rFonts w:ascii="Helvetica" w:hAnsi="Helvetica" w:cs="Helvetica"/>
          <w:b/>
          <w:sz w:val="28"/>
          <w:szCs w:val="28"/>
        </w:rPr>
        <w:t>” DSP DA script</w:t>
      </w:r>
      <w:bookmarkEnd w:id="1"/>
    </w:p>
    <w:p w14:paraId="19403C6E" w14:textId="7777777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505B03C1" w14:textId="7777777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Intended use</w:t>
      </w:r>
    </w:p>
    <w:p w14:paraId="4EABDB01" w14:textId="4F0A9A99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>TCR Analysis</w:t>
      </w:r>
      <w:r>
        <w:rPr>
          <w:rFonts w:ascii="Helvetica" w:hAnsi="Helvetica" w:cs="Helvetica"/>
          <w:color w:val="000000"/>
          <w:sz w:val="21"/>
          <w:szCs w:val="21"/>
        </w:rPr>
        <w:t xml:space="preserve"> DSP DA script was designed for data from the GeoMx NGS (CTA</w:t>
      </w:r>
      <w:r>
        <w:rPr>
          <w:rFonts w:ascii="Helvetica" w:hAnsi="Helvetica" w:cs="Helvetica"/>
          <w:color w:val="000000"/>
          <w:sz w:val="21"/>
          <w:szCs w:val="21"/>
        </w:rPr>
        <w:t xml:space="preserve"> or WTA</w:t>
      </w:r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r>
        <w:rPr>
          <w:rFonts w:ascii="Helvetica" w:hAnsi="Helvetica" w:cs="Helvetica"/>
          <w:color w:val="000000"/>
          <w:sz w:val="21"/>
          <w:szCs w:val="21"/>
        </w:rPr>
        <w:t xml:space="preserve">with TCR spike-in </w:t>
      </w:r>
      <w:r>
        <w:rPr>
          <w:rFonts w:ascii="Helvetica" w:hAnsi="Helvetica" w:cs="Helvetica"/>
          <w:color w:val="000000"/>
          <w:sz w:val="21"/>
          <w:szCs w:val="21"/>
        </w:rPr>
        <w:t xml:space="preserve">readout applications. It </w:t>
      </w:r>
      <w:r>
        <w:rPr>
          <w:rFonts w:ascii="Helvetica" w:hAnsi="Helvetica" w:cs="Helvetica"/>
          <w:color w:val="000000"/>
          <w:sz w:val="21"/>
          <w:szCs w:val="21"/>
        </w:rPr>
        <w:t>outputs an excel file with TCR genes above specified LOQ thresholds, Gini coefficients, and Shannon diversity scores.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31FD91AD" w14:textId="7777777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7CA6B4B" w14:textId="5269BF05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>Contents</w:t>
      </w:r>
    </w:p>
    <w:p w14:paraId="5B830718" w14:textId="7777777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i/>
          <w:color w:val="000000"/>
          <w:sz w:val="21"/>
          <w:szCs w:val="21"/>
        </w:rPr>
        <w:t>Page 2</w:t>
      </w:r>
      <w:r>
        <w:rPr>
          <w:rFonts w:ascii="Helvetica" w:hAnsi="Helvetica" w:cs="Helvetica"/>
          <w:color w:val="000000"/>
          <w:sz w:val="21"/>
          <w:szCs w:val="21"/>
        </w:rPr>
        <w:t>: Loading into the DSP DA</w:t>
      </w:r>
    </w:p>
    <w:p w14:paraId="4CB3FE4E" w14:textId="59E6553E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i/>
          <w:color w:val="000000"/>
          <w:sz w:val="21"/>
          <w:szCs w:val="21"/>
        </w:rPr>
        <w:t xml:space="preserve">Page </w:t>
      </w:r>
      <w:r w:rsidR="007C250D">
        <w:rPr>
          <w:rFonts w:ascii="Helvetica" w:hAnsi="Helvetica" w:cs="Helvetica"/>
          <w:i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: Setting User Parameters</w:t>
      </w:r>
    </w:p>
    <w:p w14:paraId="302FE754" w14:textId="4AB29FF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i/>
          <w:color w:val="000000"/>
          <w:sz w:val="21"/>
          <w:szCs w:val="21"/>
        </w:rPr>
        <w:t xml:space="preserve">Page </w:t>
      </w:r>
      <w:r w:rsidR="007C250D">
        <w:rPr>
          <w:rFonts w:ascii="Helvetica" w:hAnsi="Helvetica" w:cs="Helvetica"/>
          <w:i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: Example Parameter Set-up</w:t>
      </w:r>
    </w:p>
    <w:p w14:paraId="446815D9" w14:textId="5F52D040" w:rsidR="00F40625" w:rsidRDefault="00F40625"/>
    <w:p w14:paraId="3A41BBEC" w14:textId="0A314BCA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>Loading into the DSP-DA:</w:t>
      </w:r>
    </w:p>
    <w:p w14:paraId="4D1C72CA" w14:textId="2B66C8EA" w:rsidR="00F011BF" w:rsidRDefault="00F011BF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Cs/>
          <w:color w:val="000000"/>
          <w:sz w:val="21"/>
          <w:szCs w:val="21"/>
        </w:rPr>
      </w:pPr>
      <w:r w:rsidRPr="00F011BF">
        <w:rPr>
          <w:rFonts w:ascii="Helvetica" w:hAnsi="Helvetica" w:cs="Helvetica"/>
          <w:bCs/>
          <w:color w:val="000000"/>
          <w:sz w:val="21"/>
          <w:szCs w:val="21"/>
        </w:rPr>
        <w:t xml:space="preserve">Download </w:t>
      </w:r>
      <w:proofErr w:type="spellStart"/>
      <w:r w:rsidRPr="00F011BF">
        <w:rPr>
          <w:rFonts w:ascii="Helvetica" w:hAnsi="Helvetica" w:cs="Helvetica"/>
          <w:bCs/>
          <w:color w:val="000000"/>
          <w:sz w:val="21"/>
          <w:szCs w:val="21"/>
        </w:rPr>
        <w:t>TCR_Analysis.R</w:t>
      </w:r>
      <w:proofErr w:type="spellEnd"/>
      <w:r w:rsidRPr="00F011BF">
        <w:rPr>
          <w:rFonts w:ascii="Helvetica" w:hAnsi="Helvetica" w:cs="Helvetica"/>
          <w:bCs/>
          <w:color w:val="000000"/>
          <w:sz w:val="21"/>
          <w:szCs w:val="21"/>
        </w:rPr>
        <w:t xml:space="preserve"> file</w:t>
      </w:r>
      <w:r>
        <w:rPr>
          <w:rFonts w:ascii="Helvetica" w:hAnsi="Helvetica" w:cs="Helvetica"/>
          <w:bCs/>
          <w:color w:val="000000"/>
          <w:sz w:val="21"/>
          <w:szCs w:val="21"/>
        </w:rPr>
        <w:t xml:space="preserve"> from GitHub: </w:t>
      </w:r>
      <w:hyperlink r:id="rId7" w:history="1">
        <w:r w:rsidR="003630AD" w:rsidRPr="008E7245">
          <w:rPr>
            <w:rStyle w:val="Hyperlink"/>
            <w:rFonts w:ascii="Helvetica" w:hAnsi="Helvetica" w:cs="Helvetica"/>
            <w:bCs/>
            <w:sz w:val="21"/>
            <w:szCs w:val="21"/>
          </w:rPr>
          <w:t>https://github.com/Nanostring-Biostats/DSPPlugins</w:t>
        </w:r>
      </w:hyperlink>
    </w:p>
    <w:p w14:paraId="0769109C" w14:textId="77777777" w:rsidR="003630AD" w:rsidRPr="00F011BF" w:rsidRDefault="003630AD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Cs/>
          <w:color w:val="000000"/>
          <w:sz w:val="21"/>
          <w:szCs w:val="21"/>
        </w:rPr>
      </w:pPr>
    </w:p>
    <w:p w14:paraId="06D3120C" w14:textId="1FB1B6BA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TCR_Analysis</w:t>
      </w:r>
      <w:r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may be loaded into the custom scripts section of the DSP-DA after you have a dataset processed and ready for analysis. To do so open the custom script section by clicking on the button shown below</w:t>
      </w:r>
      <w:r>
        <w:rPr>
          <w:rFonts w:ascii="Helvetica" w:hAnsi="Helvetica" w:cs="Helvetica"/>
          <w:color w:val="000000"/>
          <w:sz w:val="21"/>
          <w:szCs w:val="21"/>
        </w:rPr>
        <w:t xml:space="preserve"> with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BioProbeQC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dataset marked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070C097C" w14:textId="020E0EDF" w:rsidR="00404C85" w:rsidRDefault="00404C85">
      <w:r>
        <w:rPr>
          <w:noProof/>
        </w:rPr>
        <w:drawing>
          <wp:anchor distT="0" distB="0" distL="114300" distR="114300" simplePos="0" relativeHeight="251659264" behindDoc="0" locked="0" layoutInCell="1" allowOverlap="1" wp14:anchorId="033FE17F" wp14:editId="5BCB6ED4">
            <wp:simplePos x="0" y="0"/>
            <wp:positionH relativeFrom="column">
              <wp:posOffset>2828925</wp:posOffset>
            </wp:positionH>
            <wp:positionV relativeFrom="paragraph">
              <wp:posOffset>8890</wp:posOffset>
            </wp:positionV>
            <wp:extent cx="2343150" cy="1856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CB7E3" wp14:editId="70CA1B29">
            <wp:simplePos x="0" y="0"/>
            <wp:positionH relativeFrom="column">
              <wp:posOffset>1190625</wp:posOffset>
            </wp:positionH>
            <wp:positionV relativeFrom="paragraph">
              <wp:posOffset>513715</wp:posOffset>
            </wp:positionV>
            <wp:extent cx="1304925" cy="5524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9" t="20548" r="22269"/>
                    <a:stretch/>
                  </pic:blipFill>
                  <pic:spPr bwMode="auto"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5D2EA4" w14:textId="4E7D8D25" w:rsidR="00404C85" w:rsidRPr="00404C85" w:rsidRDefault="00404C85" w:rsidP="00404C85"/>
    <w:p w14:paraId="0A603B4B" w14:textId="28CF748E" w:rsidR="00404C85" w:rsidRPr="00404C85" w:rsidRDefault="00404C85" w:rsidP="00404C85"/>
    <w:p w14:paraId="39B729ED" w14:textId="5EF27AD7" w:rsidR="00404C85" w:rsidRPr="00404C85" w:rsidRDefault="00404C85" w:rsidP="00404C85"/>
    <w:p w14:paraId="4B5CBA95" w14:textId="3F6EC450" w:rsidR="00404C85" w:rsidRPr="00404C85" w:rsidRDefault="00404C85" w:rsidP="00404C85"/>
    <w:p w14:paraId="176E1744" w14:textId="2FBBF66D" w:rsidR="00404C85" w:rsidRPr="00404C85" w:rsidRDefault="00404C85" w:rsidP="00404C85"/>
    <w:p w14:paraId="3202E735" w14:textId="23DA08D8" w:rsidR="00404C85" w:rsidRPr="00404C85" w:rsidRDefault="00404C85" w:rsidP="00404C85"/>
    <w:p w14:paraId="459EB5EA" w14:textId="00033F40" w:rsidR="00404C85" w:rsidRDefault="00404C85" w:rsidP="00404C85"/>
    <w:p w14:paraId="179E3153" w14:textId="163C8A98" w:rsidR="00404C85" w:rsidRDefault="00404C85" w:rsidP="00404C85"/>
    <w:p w14:paraId="2B9DA9BC" w14:textId="5A8553D5" w:rsidR="00404C85" w:rsidRDefault="00404C85" w:rsidP="00404C85"/>
    <w:p w14:paraId="47EDF79B" w14:textId="0F40DE5D" w:rsidR="00404C85" w:rsidRDefault="00404C85" w:rsidP="00404C85"/>
    <w:p w14:paraId="469F3C39" w14:textId="65D63783" w:rsidR="00404C85" w:rsidRDefault="00404C85" w:rsidP="00404C85"/>
    <w:p w14:paraId="661C9080" w14:textId="70E07EA0" w:rsidR="00404C85" w:rsidRDefault="00404C85" w:rsidP="00404C85"/>
    <w:p w14:paraId="6F66B130" w14:textId="77777777" w:rsidR="00404C85" w:rsidRDefault="00404C85" w:rsidP="00404C85"/>
    <w:p w14:paraId="4A86C344" w14:textId="77777777" w:rsidR="00404C85" w:rsidRDefault="00404C85" w:rsidP="00404C85"/>
    <w:p w14:paraId="29895E4C" w14:textId="2C926C73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Select the “Manage” tab to open the area to load and edit scripts:</w:t>
      </w:r>
    </w:p>
    <w:p w14:paraId="15F36066" w14:textId="767D0774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0CAB7A8E" wp14:editId="2FF21E31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E1B4" w14:textId="4BB3AE78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Management tab to add a new script and adjust parameters, fill out and then scroll to the bottom of the page. Use the “+” button to add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TCR_Analysis</w:t>
      </w:r>
      <w:r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to the script:</w:t>
      </w:r>
    </w:p>
    <w:p w14:paraId="776942B1" w14:textId="068DE6E2" w:rsidR="00404C85" w:rsidRDefault="00404C85" w:rsidP="00404C85">
      <w:r>
        <w:rPr>
          <w:noProof/>
        </w:rPr>
        <w:drawing>
          <wp:anchor distT="0" distB="0" distL="114300" distR="114300" simplePos="0" relativeHeight="251660288" behindDoc="0" locked="0" layoutInCell="1" allowOverlap="1" wp14:anchorId="154ED3A1" wp14:editId="1F010E4A">
            <wp:simplePos x="0" y="0"/>
            <wp:positionH relativeFrom="column">
              <wp:posOffset>2390775</wp:posOffset>
            </wp:positionH>
            <wp:positionV relativeFrom="paragraph">
              <wp:posOffset>145415</wp:posOffset>
            </wp:positionV>
            <wp:extent cx="1085850" cy="2066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DF0FD9" w14:textId="646F9D98" w:rsidR="00404C85" w:rsidRPr="00404C85" w:rsidRDefault="00404C85" w:rsidP="00404C85"/>
    <w:p w14:paraId="28FDBF0A" w14:textId="2996AEE9" w:rsidR="00404C85" w:rsidRPr="00404C85" w:rsidRDefault="00404C85" w:rsidP="00404C85"/>
    <w:p w14:paraId="14C0F70A" w14:textId="49D1FEAB" w:rsidR="00404C85" w:rsidRPr="00404C85" w:rsidRDefault="00404C85" w:rsidP="00404C85"/>
    <w:p w14:paraId="1823BD44" w14:textId="2E2096B2" w:rsidR="00404C85" w:rsidRPr="00404C85" w:rsidRDefault="00404C85" w:rsidP="00404C85"/>
    <w:p w14:paraId="3341FEF6" w14:textId="05DEE41C" w:rsidR="00404C85" w:rsidRPr="00404C85" w:rsidRDefault="00404C85" w:rsidP="00404C85"/>
    <w:p w14:paraId="52E1B740" w14:textId="383FEB1E" w:rsidR="00404C85" w:rsidRPr="00404C85" w:rsidRDefault="00404C85" w:rsidP="00404C85"/>
    <w:p w14:paraId="072BA1B6" w14:textId="2FE7855B" w:rsidR="00404C85" w:rsidRPr="00404C85" w:rsidRDefault="00404C85" w:rsidP="00404C85"/>
    <w:p w14:paraId="5FF3BD69" w14:textId="24B65EAE" w:rsidR="00404C85" w:rsidRDefault="00404C85" w:rsidP="00404C85"/>
    <w:p w14:paraId="66AA5E14" w14:textId="77777777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script will work with both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GeoMxSet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inputs.</w:t>
      </w:r>
    </w:p>
    <w:p w14:paraId="30E81AC2" w14:textId="3A531728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D5159A" wp14:editId="111DABC3">
            <wp:extent cx="42386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47C3" w14:textId="413FF07D" w:rsidR="00404C85" w:rsidRDefault="00404C85" w:rsidP="00404C8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Once added the parameters of the script can be adjusted by editing the top lines in the script and hitting the “Save” button. You </w:t>
      </w:r>
      <w:r>
        <w:rPr>
          <w:rFonts w:ascii="Helvetica" w:hAnsi="Helvetica" w:cs="Helvetica"/>
          <w:color w:val="000000"/>
          <w:sz w:val="21"/>
          <w:szCs w:val="21"/>
        </w:rPr>
        <w:t>can optionally</w:t>
      </w:r>
      <w:r>
        <w:rPr>
          <w:rFonts w:ascii="Helvetica" w:hAnsi="Helvetica" w:cs="Helvetica"/>
          <w:color w:val="000000"/>
          <w:sz w:val="21"/>
          <w:szCs w:val="21"/>
        </w:rPr>
        <w:t xml:space="preserve"> check the Create new dataset button.</w:t>
      </w:r>
    </w:p>
    <w:p w14:paraId="035B0485" w14:textId="601A6C10" w:rsidR="00404C85" w:rsidRDefault="005114C0" w:rsidP="00404C85">
      <w:r>
        <w:tab/>
      </w:r>
      <w:r>
        <w:tab/>
      </w:r>
      <w:r>
        <w:tab/>
      </w:r>
      <w:r>
        <w:tab/>
      </w:r>
      <w:r>
        <w:tab/>
        <w:t>Main script:</w:t>
      </w:r>
    </w:p>
    <w:p w14:paraId="16D327DC" w14:textId="3FD804F9" w:rsidR="005114C0" w:rsidRDefault="005114C0" w:rsidP="00404C85">
      <w:r>
        <w:rPr>
          <w:noProof/>
        </w:rPr>
        <w:drawing>
          <wp:anchor distT="0" distB="0" distL="114300" distR="114300" simplePos="0" relativeHeight="251661312" behindDoc="0" locked="0" layoutInCell="1" allowOverlap="1" wp14:anchorId="0E673BB7" wp14:editId="47CB9535">
            <wp:simplePos x="0" y="0"/>
            <wp:positionH relativeFrom="column">
              <wp:posOffset>1038225</wp:posOffset>
            </wp:positionH>
            <wp:positionV relativeFrom="paragraph">
              <wp:posOffset>6985</wp:posOffset>
            </wp:positionV>
            <wp:extent cx="3562350" cy="2152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3A08B" w14:textId="0672D768" w:rsidR="005114C0" w:rsidRPr="005114C0" w:rsidRDefault="005114C0" w:rsidP="005114C0"/>
    <w:p w14:paraId="7EBE5B43" w14:textId="67C0192A" w:rsidR="005114C0" w:rsidRPr="005114C0" w:rsidRDefault="005114C0" w:rsidP="005114C0"/>
    <w:p w14:paraId="4F925BF7" w14:textId="3CDEE84D" w:rsidR="005114C0" w:rsidRPr="005114C0" w:rsidRDefault="005114C0" w:rsidP="005114C0"/>
    <w:p w14:paraId="4E829615" w14:textId="02C481BE" w:rsidR="005114C0" w:rsidRPr="005114C0" w:rsidRDefault="005114C0" w:rsidP="005114C0"/>
    <w:p w14:paraId="47B20EE5" w14:textId="14F23BDE" w:rsidR="005114C0" w:rsidRPr="005114C0" w:rsidRDefault="005114C0" w:rsidP="005114C0"/>
    <w:p w14:paraId="2BEF6182" w14:textId="197C7200" w:rsidR="005114C0" w:rsidRDefault="005114C0" w:rsidP="005114C0"/>
    <w:p w14:paraId="562E1F33" w14:textId="426FC005" w:rsidR="005114C0" w:rsidRDefault="005114C0" w:rsidP="005114C0"/>
    <w:p w14:paraId="18EBCCC4" w14:textId="77777777" w:rsidR="005114C0" w:rsidRDefault="005114C0" w:rsidP="005114C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Parameter options are described in full on the next page.</w:t>
      </w:r>
    </w:p>
    <w:p w14:paraId="291B2AEF" w14:textId="77777777" w:rsidR="005114C0" w:rsidRDefault="005114C0" w:rsidP="005114C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000000"/>
          <w:sz w:val="21"/>
        </w:rPr>
      </w:pPr>
      <w:r>
        <w:rPr>
          <w:rFonts w:ascii="Helvetica" w:hAnsi="Helvetica" w:cs="Helvetica"/>
          <w:b/>
          <w:color w:val="000000"/>
          <w:szCs w:val="21"/>
        </w:rPr>
        <w:t>Setting User Parameters:</w:t>
      </w:r>
    </w:p>
    <w:p w14:paraId="124AE15A" w14:textId="77777777" w:rsidR="005114C0" w:rsidRDefault="005114C0" w:rsidP="005114C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are a few settings that can be adjusted easily by the user at the top of the script. These include:</w:t>
      </w:r>
    </w:p>
    <w:p w14:paraId="5DB3FAF5" w14:textId="793E0739" w:rsidR="005114C0" w:rsidRDefault="005114C0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filter_segments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– set </w:t>
      </w:r>
      <w:r>
        <w:rPr>
          <w:rFonts w:ascii="Helvetica" w:hAnsi="Helvetica" w:cs="Helvetica"/>
          <w:color w:val="000000"/>
          <w:sz w:val="21"/>
          <w:szCs w:val="21"/>
        </w:rPr>
        <w:t>this to TRUE to filter out low segments.  Set this to FALSE to keep all segments</w:t>
      </w:r>
    </w:p>
    <w:p w14:paraId="6ABAEB9B" w14:textId="00B69D2D" w:rsidR="005114C0" w:rsidRDefault="005114C0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filter_targets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 xml:space="preserve"> set this to TRUE to filter out </w:t>
      </w:r>
      <w:r w:rsidRPr="005114C0">
        <w:rPr>
          <w:rFonts w:ascii="Helvetica" w:hAnsi="Helvetica" w:cs="Helvetica"/>
          <w:color w:val="000000"/>
          <w:sz w:val="21"/>
          <w:szCs w:val="21"/>
        </w:rPr>
        <w:t xml:space="preserve">targets that occur in less than 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 w:rsidRPr="005114C0">
        <w:rPr>
          <w:rFonts w:ascii="Helvetica" w:hAnsi="Helvetica" w:cs="Helvetica"/>
          <w:color w:val="000000"/>
          <w:sz w:val="21"/>
          <w:szCs w:val="21"/>
        </w:rPr>
        <w:t>%</w:t>
      </w:r>
      <w:r>
        <w:rPr>
          <w:rFonts w:ascii="Helvetica" w:hAnsi="Helvetica" w:cs="Helvetica"/>
          <w:color w:val="000000"/>
          <w:sz w:val="21"/>
          <w:szCs w:val="21"/>
        </w:rPr>
        <w:t xml:space="preserve"> (set by </w:t>
      </w: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percent_thresh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parameter)</w:t>
      </w:r>
      <w:r w:rsidRPr="005114C0">
        <w:rPr>
          <w:rFonts w:ascii="Helvetica" w:hAnsi="Helvetica" w:cs="Helvetica"/>
          <w:color w:val="000000"/>
          <w:sz w:val="21"/>
          <w:szCs w:val="21"/>
        </w:rPr>
        <w:t xml:space="preserve"> of AOIs</w:t>
      </w:r>
      <w:r>
        <w:rPr>
          <w:rFonts w:ascii="Helvetica" w:hAnsi="Helvetica" w:cs="Helvetica"/>
          <w:color w:val="000000"/>
          <w:sz w:val="21"/>
          <w:szCs w:val="21"/>
        </w:rPr>
        <w:t>.  TCR genes will not be filtered.  Set this to FALSE to keep all targets</w:t>
      </w:r>
    </w:p>
    <w:p w14:paraId="78B868B0" w14:textId="387B3DB8" w:rsidR="005114C0" w:rsidRDefault="005114C0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percent_thresh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 xml:space="preserve"> if </w:t>
      </w: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filter_targets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TRUE, set this to numeric less than 1</w:t>
      </w:r>
    </w:p>
    <w:p w14:paraId="6AFB84BF" w14:textId="4DB7F05D" w:rsidR="005114C0" w:rsidRDefault="005114C0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5114C0">
        <w:rPr>
          <w:rFonts w:ascii="Helvetica" w:hAnsi="Helvetica" w:cs="Helvetica"/>
          <w:i/>
          <w:iCs/>
          <w:color w:val="000000"/>
          <w:sz w:val="21"/>
          <w:szCs w:val="21"/>
        </w:rPr>
        <w:t>LOQ_thresholds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 xml:space="preserve"> set this to string of numeric LOQ thresholds that will be used to calculate detection of TCR probes over background</w:t>
      </w:r>
    </w:p>
    <w:p w14:paraId="248CF069" w14:textId="3EF994F8" w:rsidR="005114C0" w:rsidRDefault="005114C0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TCR_probes_bg_subtraction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 xml:space="preserve"> set this to TRUE to subtract background from TCR probes</w:t>
      </w:r>
    </w:p>
    <w:p w14:paraId="07D4B38E" w14:textId="68024D38" w:rsidR="005114C0" w:rsidRDefault="007C250D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b</w:t>
      </w:r>
      <w:r w:rsidR="005114C0">
        <w:rPr>
          <w:rFonts w:ascii="Helvetica" w:hAnsi="Helvetica" w:cs="Helvetica"/>
          <w:i/>
          <w:iCs/>
          <w:color w:val="000000"/>
          <w:sz w:val="21"/>
          <w:szCs w:val="21"/>
        </w:rPr>
        <w:t>ackground_method</w:t>
      </w:r>
      <w:proofErr w:type="spellEnd"/>
      <w:r w:rsidR="005114C0"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 w:rsidR="005114C0">
        <w:rPr>
          <w:rFonts w:ascii="Helvetica" w:hAnsi="Helvetica" w:cs="Helvetica"/>
          <w:color w:val="000000"/>
          <w:sz w:val="21"/>
          <w:szCs w:val="21"/>
        </w:rPr>
        <w:t>–</w:t>
      </w:r>
      <w:r w:rsidR="005114C0">
        <w:rPr>
          <w:rFonts w:ascii="Helvetica" w:hAnsi="Helvetica" w:cs="Helvetica"/>
          <w:color w:val="000000"/>
          <w:sz w:val="21"/>
          <w:szCs w:val="21"/>
        </w:rPr>
        <w:t xml:space="preserve"> if </w:t>
      </w:r>
      <w:proofErr w:type="spellStart"/>
      <w:r w:rsidR="005114C0">
        <w:rPr>
          <w:rFonts w:ascii="Helvetica" w:hAnsi="Helvetica" w:cs="Helvetica"/>
          <w:i/>
          <w:iCs/>
          <w:color w:val="000000"/>
          <w:sz w:val="21"/>
          <w:szCs w:val="21"/>
        </w:rPr>
        <w:t>TCR_probes_bg_subtraction</w:t>
      </w:r>
      <w:proofErr w:type="spellEnd"/>
      <w:r w:rsidR="005114C0"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 w:rsidR="005114C0">
        <w:rPr>
          <w:rFonts w:ascii="Helvetica" w:hAnsi="Helvetica" w:cs="Helvetica"/>
          <w:color w:val="000000"/>
          <w:sz w:val="21"/>
          <w:szCs w:val="21"/>
        </w:rPr>
        <w:t>= TRUE, set this to either “geomean” or “LOQ” to designate the background subtraction method to be used</w:t>
      </w:r>
    </w:p>
    <w:p w14:paraId="5FF2D749" w14:textId="3D8294EE" w:rsidR="005114C0" w:rsidRDefault="007C250D" w:rsidP="005114C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Bg_LOQ_thresh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TCR_probes_bg_subtraction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= TRUE</w:t>
      </w:r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background_method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= “LOQ”, set this to numeric of LOQ threshold to use</w:t>
      </w:r>
    </w:p>
    <w:p w14:paraId="55984946" w14:textId="4E3FE1F6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24DE04B" w14:textId="77777777" w:rsidR="007C250D" w:rsidRDefault="007C250D" w:rsidP="007C250D">
      <w:pPr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>Example parameter setup:</w:t>
      </w:r>
    </w:p>
    <w:p w14:paraId="565182B2" w14:textId="4DEAF13B" w:rsidR="007C250D" w:rsidRDefault="007C250D" w:rsidP="007C250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Example 1: no segment or target filtering and no background subtraction</w:t>
      </w:r>
    </w:p>
    <w:p w14:paraId="493530C9" w14:textId="26E7BE79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filter_segments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FALSE</w:t>
      </w:r>
    </w:p>
    <w:p w14:paraId="2382E16E" w14:textId="64194AB5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filter_targets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FALSE</w:t>
      </w:r>
    </w:p>
    <w:p w14:paraId="3953F12C" w14:textId="1F170811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LOQ_thresholds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c(2, 2.5, 3)</w:t>
      </w:r>
    </w:p>
    <w:p w14:paraId="519D25C7" w14:textId="4740D6D0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TCR_probes_bg_subtraction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FALSE</w:t>
      </w:r>
    </w:p>
    <w:p w14:paraId="1D7DC5F4" w14:textId="7D1FD3B0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49091407" w14:textId="4A873978" w:rsidR="007C250D" w:rsidRDefault="007C250D" w:rsidP="007C250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Example 2: segment and target filtering, LOQ background subtraction</w:t>
      </w:r>
    </w:p>
    <w:p w14:paraId="2D8B38D5" w14:textId="70A7B16A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filter_segments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</w:p>
    <w:p w14:paraId="511007A3" w14:textId="2D95799B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filter_targets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</w:p>
    <w:p w14:paraId="5A6704A7" w14:textId="5078803F" w:rsidR="007C250D" w:rsidRDefault="007C250D" w:rsidP="007C250D">
      <w:pPr>
        <w:pStyle w:val="NormalWeb"/>
        <w:shd w:val="clear" w:color="auto" w:fill="FFFFFF"/>
        <w:spacing w:before="120" w:after="12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percent_thresh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.1 #e.g. 10%</w:t>
      </w:r>
    </w:p>
    <w:p w14:paraId="6F01E442" w14:textId="77777777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LOQ_thresholds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c(2, 2.5, 3)</w:t>
      </w:r>
    </w:p>
    <w:p w14:paraId="369EB555" w14:textId="36A5350E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TCR_probes_bg_subtraction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</w:p>
    <w:p w14:paraId="0B6E292D" w14:textId="09A3A4EC" w:rsidR="007C250D" w:rsidRPr="007C250D" w:rsidRDefault="007C250D" w:rsidP="007C250D">
      <w:pPr>
        <w:pStyle w:val="NormalWeb"/>
        <w:shd w:val="clear" w:color="auto" w:fill="FFFFFF"/>
        <w:spacing w:before="120" w:after="12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background_method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== "LOQ"</w:t>
      </w:r>
    </w:p>
    <w:p w14:paraId="1C2E64E0" w14:textId="7D631720" w:rsidR="007C250D" w:rsidRPr="007C250D" w:rsidRDefault="007C250D" w:rsidP="007C250D">
      <w:pPr>
        <w:pStyle w:val="NormalWeb"/>
        <w:shd w:val="clear" w:color="auto" w:fill="FFFFFF"/>
        <w:spacing w:before="120" w:after="12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C250D">
        <w:rPr>
          <w:rFonts w:ascii="Helvetica" w:hAnsi="Helvetica" w:cs="Helvetica"/>
          <w:color w:val="000000"/>
          <w:sz w:val="21"/>
          <w:szCs w:val="21"/>
        </w:rPr>
        <w:t>bg_LOQ_thresh</w:t>
      </w:r>
      <w:proofErr w:type="spellEnd"/>
      <w:r w:rsidRPr="007C250D">
        <w:rPr>
          <w:rFonts w:ascii="Helvetica" w:hAnsi="Helvetica" w:cs="Helvetica"/>
          <w:color w:val="000000"/>
          <w:sz w:val="21"/>
          <w:szCs w:val="21"/>
        </w:rPr>
        <w:t xml:space="preserve"> = 2</w:t>
      </w:r>
    </w:p>
    <w:p w14:paraId="40B497B2" w14:textId="77777777" w:rsidR="007C250D" w:rsidRDefault="007C250D" w:rsidP="007C250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54264726" w14:textId="77777777" w:rsidR="005114C0" w:rsidRPr="005114C0" w:rsidRDefault="005114C0" w:rsidP="005114C0"/>
    <w:sectPr w:rsidR="005114C0" w:rsidRPr="0051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E236" w14:textId="77777777" w:rsidR="005114C0" w:rsidRDefault="005114C0" w:rsidP="005114C0">
      <w:pPr>
        <w:spacing w:after="0" w:line="240" w:lineRule="auto"/>
      </w:pPr>
      <w:r>
        <w:separator/>
      </w:r>
    </w:p>
  </w:endnote>
  <w:endnote w:type="continuationSeparator" w:id="0">
    <w:p w14:paraId="55ECF1D5" w14:textId="77777777" w:rsidR="005114C0" w:rsidRDefault="005114C0" w:rsidP="0051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D174" w14:textId="77777777" w:rsidR="005114C0" w:rsidRDefault="005114C0" w:rsidP="005114C0">
      <w:pPr>
        <w:spacing w:after="0" w:line="240" w:lineRule="auto"/>
      </w:pPr>
      <w:r>
        <w:separator/>
      </w:r>
    </w:p>
  </w:footnote>
  <w:footnote w:type="continuationSeparator" w:id="0">
    <w:p w14:paraId="50E98C9C" w14:textId="77777777" w:rsidR="005114C0" w:rsidRDefault="005114C0" w:rsidP="0051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54A8C"/>
    <w:multiLevelType w:val="hybridMultilevel"/>
    <w:tmpl w:val="9FD2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2CF9"/>
    <w:multiLevelType w:val="hybridMultilevel"/>
    <w:tmpl w:val="1BC6BE00"/>
    <w:lvl w:ilvl="0" w:tplc="11C646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43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9437392">
    <w:abstractNumId w:val="1"/>
  </w:num>
  <w:num w:numId="3" w16cid:durableId="51376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5"/>
    <w:rsid w:val="003630AD"/>
    <w:rsid w:val="00404C85"/>
    <w:rsid w:val="005114C0"/>
    <w:rsid w:val="007C250D"/>
    <w:rsid w:val="00F011B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83BF"/>
  <w15:chartTrackingRefBased/>
  <w15:docId w15:val="{0A994C07-DEDE-4085-8748-C1D023A4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8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C0"/>
  </w:style>
  <w:style w:type="paragraph" w:styleId="Footer">
    <w:name w:val="footer"/>
    <w:basedOn w:val="Normal"/>
    <w:link w:val="FooterChar"/>
    <w:uiPriority w:val="99"/>
    <w:unhideWhenUsed/>
    <w:rsid w:val="0051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C0"/>
  </w:style>
  <w:style w:type="character" w:styleId="Hyperlink">
    <w:name w:val="Hyperlink"/>
    <w:basedOn w:val="DefaultParagraphFont"/>
    <w:uiPriority w:val="99"/>
    <w:unhideWhenUsed/>
    <w:rsid w:val="00F01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anostring-Biostats/DSPPlugi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Gorman</dc:creator>
  <cp:keywords/>
  <dc:description/>
  <cp:lastModifiedBy>Kara Gorman</cp:lastModifiedBy>
  <cp:revision>3</cp:revision>
  <dcterms:created xsi:type="dcterms:W3CDTF">2023-05-16T20:03:00Z</dcterms:created>
  <dcterms:modified xsi:type="dcterms:W3CDTF">2023-05-16T20:32:00Z</dcterms:modified>
</cp:coreProperties>
</file>