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EE6D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left"/>
        <w:textAlignment w:val="auto"/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  <w:t>10.2.3 案例：基于可穿戴设备的健康状态监测</w:t>
      </w:r>
    </w:p>
    <w:p w14:paraId="625D9E32">
      <w:pPr>
        <w:spacing w:before="0" w:after="0"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  <w:t>慢性心衰患者出院以后，真正的管理并没有结束。白天活动量下降、夜间心率升高、体重短时间增加、血氧反复下降，这些变化可能出现在家里，也可能发生在睡眠中。患者自己未必能及时察觉，医生也不可能每天面对面观察。可穿戴设备和远程健康管理系统的价值，正在于把这些院外变化连续记录下来，并在风险积累到一定程度时及时提醒医护人员和患者。</w:t>
      </w:r>
    </w:p>
    <w:p w14:paraId="5BD19F1E">
      <w:pPr>
        <w:spacing w:before="0" w:after="0"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  <w:t>本案例以一名72岁慢性心衰患者的90天远程健康管理为例。患者为女性，确诊慢性心力衰竭多年，近期曾因急性失代偿入院治疗，出院后被纳入医院心衰中心远程健康管理项目。系统通过智能手表、单导联心电贴片、动态血压监测设备、家用血压计和体重秤等设备，连续采集患者心率、活动量、心电片段、血压、血氧和体重等数据，并将其上传至云端平台。心衰中心护士和签约医师根据平台生成的预警信息和健康报告，对患者进行随访、用药指导和就医建议。</w:t>
      </w:r>
    </w:p>
    <w:p w14:paraId="5A96AAD8">
      <w:pPr>
        <w:spacing w:before="0" w:after="0"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  <w:t>如图10.13所示，本案例中的健康状态监测系统由用户端、云端平台和医护端组成。用户端负责采集居家场景中的连续健康数据，云端平台负责完成数据清洗、健康档案构建、模型分析和分级预警，医护端则根据系统生成的健康报告进行复核、随访和干预。</w:t>
      </w:r>
    </w:p>
    <w:p w14:paraId="129E46B2">
      <w:pPr>
        <w:ind w:firstLine="0"/>
        <w:jc w:val="center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91710" cy="3324860"/>
            <wp:effectExtent l="0" t="0" r="8890" b="2540"/>
            <wp:docPr id="4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7491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3324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886086">
      <w:pPr>
        <w:ind w:firstLine="0"/>
        <w:jc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图10.</w:t>
      </w: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13</w:t>
      </w:r>
      <w:r>
        <w:rPr>
          <w:rFonts w:hint="default" w:ascii="Times New Roman" w:hAnsi="Times New Roman" w:eastAsia="宋体" w:cs="Times New Roman"/>
          <w:b/>
          <w:sz w:val="21"/>
          <w:szCs w:val="21"/>
        </w:rPr>
        <w:t xml:space="preserve"> 基于可穿戴设备的健康状态监测系统总体架构示意图</w:t>
      </w:r>
    </w:p>
    <w:p w14:paraId="0E902FFB">
      <w:pPr>
        <w:numPr>
          <w:ilvl w:val="0"/>
          <w:numId w:val="1"/>
        </w:numPr>
        <w:spacing w:before="0" w:after="0" w:line="360" w:lineRule="auto"/>
        <w:jc w:val="left"/>
        <w:rPr>
          <w:rFonts w:hint="default" w:ascii="Times New Roman" w:hAnsi="Times New Roman" w:eastAsia="宋体" w:cs="Times New Roman"/>
          <w:b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>监测对象与系统配置</w:t>
      </w:r>
    </w:p>
    <w:p w14:paraId="170DA76C">
      <w:pPr>
        <w:numPr>
          <w:ilvl w:val="0"/>
          <w:numId w:val="0"/>
        </w:numPr>
        <w:spacing w:before="0" w:after="0"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本案例中的患者属于慢性心衰高风险人群。此类患者出院后仍可能出现液体潴留、心律异常、血压波动、血氧下降和活动耐量下降等问题。如果这些变化没有被及时发现，可能导致病情加重甚至再次入院。因此，本案例的监测重点不是单独观察某一个指标，而是连续追踪心衰相关的多项生理和行为变化。</w:t>
      </w:r>
    </w:p>
    <w:p w14:paraId="089B8D80">
      <w:pPr>
        <w:numPr>
          <w:ilvl w:val="0"/>
          <w:numId w:val="0"/>
        </w:numPr>
        <w:spacing w:before="0" w:after="0"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系统为患者配置了多种监测设备。智能手表用于持续记录心率和活动量，单导联心电贴片用于每日固定时间段采集短时心电波形，动态血压监测设备用于每周两次完成24小时血压记录，家用血压计和体重秤用于补充日常血压和体重测量。所有数据通过家庭网关上传至云端平台，并与患者电子健康档案关联。</w:t>
      </w:r>
    </w:p>
    <w:p w14:paraId="50F7DF17">
      <w:pPr>
        <w:numPr>
          <w:ilvl w:val="0"/>
          <w:numId w:val="0"/>
        </w:numPr>
        <w:spacing w:before="0" w:after="0"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云端平台负责对数据进行汇总和分析，形成连续健康档案。心衰中心护士主要负责日常数据查看和初步随访，签约医师负责对中高风险预警进行医学判断，并根据患者情况调整治疗方案。这样，患者居家监测、云端分析和医护复核之间形成了较完整的远程管理链条。</w:t>
      </w:r>
    </w:p>
    <w:p w14:paraId="5ACC152A">
      <w:pPr>
        <w:spacing w:before="0" w:after="0" w:line="360" w:lineRule="auto"/>
        <w:jc w:val="left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24"/>
          <w:szCs w:val="24"/>
        </w:rPr>
        <w:t xml:space="preserve">2.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90天远程监测过程</w:t>
      </w:r>
    </w:p>
    <w:p w14:paraId="5E06D4D9">
      <w:pPr>
        <w:spacing w:before="0" w:after="0"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  <w:t>在90天观察期内，系统持续记录患者的心率、活动量、血压、心电片段和体重变化。与传统复诊相比，这种监测方式能够覆盖患者出院后的日常生活状态。系统不仅能看到某一天的血压或心率是否异常，还能观察这些指标在几天或几周内是否持续偏离个人基线。</w:t>
      </w:r>
    </w:p>
    <w:p w14:paraId="11C5ED4E">
      <w:pPr>
        <w:spacing w:before="0" w:after="0" w:line="360" w:lineRule="auto"/>
        <w:ind w:firstLine="480" w:firstLineChars="200"/>
        <w:jc w:val="left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  <w:highlight w:val="none"/>
          <w:lang w:val="en-US" w:eastAsia="zh-CN"/>
        </w:rPr>
        <w:t>监测期间，平台累计记录心率数据约130万条、心电片段约600段、24小时动态血压记录24次、家用血压测量约180次和体重测量约90次，并生成每周健康报告13份。</w:t>
      </w:r>
      <w:r>
        <w:rPr>
          <w:rFonts w:ascii="宋体" w:hAnsi="宋体" w:eastAsia="宋体" w:cs="宋体"/>
          <w:sz w:val="24"/>
          <w:szCs w:val="24"/>
          <w:highlight w:val="none"/>
        </w:rPr>
        <w:t>图10.14进一步汇总了90天远程管理期间的数据采集情况、关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  <w:highlight w:val="none"/>
        </w:rPr>
        <w:t>键预警节点及对应的干预结果。从图中可以看出，系统不仅记录了多源连续健康数据，还在第18天、第45天和第72天分别识别出液体潴留风险、阵发性心律异常和夜间血氧下降等具有临床意义的风险事件。</w:t>
      </w:r>
    </w:p>
    <w:p w14:paraId="2E7DDBE4">
      <w:pPr>
        <w:spacing w:before="0" w:after="0" w:line="360" w:lineRule="auto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91710" cy="3435350"/>
            <wp:effectExtent l="0" t="0" r="8890" b="6350"/>
            <wp:docPr id="4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44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FB573B">
      <w:pPr>
        <w:ind w:firstLine="0"/>
        <w:jc w:val="center"/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  <w:lang w:val="en-US" w:eastAsia="zh-CN"/>
        </w:rPr>
        <w:t>图10.14 90天远程健康管理结果与预警事件</w:t>
      </w:r>
    </w:p>
    <w:p w14:paraId="6D9F8AF2">
      <w:pPr>
        <w:spacing w:before="0" w:after="0" w:line="360" w:lineRule="auto"/>
        <w:ind w:firstLine="480" w:firstLineChars="200"/>
        <w:jc w:val="left"/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24"/>
          <w:lang w:val="en-US" w:eastAsia="zh-CN"/>
        </w:rPr>
        <w:t>系统在数据分析时重点关注三类变化。第一，体重和心率的共同变化，用于提示液体潴留和心衰加重风险。第二，心电片段和活动量之间的关系，用于判断心律异常是否与运动有关。第三，夜间血氧和呼吸频率变化，用于发现睡眠期间可能出现的呼吸或循环风险。通过这些分析，系统在90天内共触发3次具有临床意义的预警事件。</w:t>
      </w:r>
    </w:p>
    <w:p w14:paraId="570517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9F11A9A-0FDE-4EC1-91D1-018C4AF5F532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altName w:val="Segoe Print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1AC440"/>
    <w:multiLevelType w:val="singleLevel"/>
    <w:tmpl w:val="C91AC4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703CBE"/>
    <w:rsid w:val="1F70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Noto Serif CJK SC" w:hAnsi="Noto Serif CJK SC" w:eastAsia="Noto Serif CJK SC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A5F"/>
      <w:sz w:val="23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2026-05-27T07:22:00Z</dcterms:created>
  <dc:creator>沐曦</dc:creator>
  <cp:lastModifiedBy>沐曦</cp:lastModifiedBy>
  <dcterms:modified xsi:type="dcterms:W3CDTF">2026-05-27T07:23:09Z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21BDD307787B4378AF150F38D0CD3CC5_11</vt:lpwstr>
  </property>
  <property fmtid="{D5CDD505-2E9C-101B-9397-08002B2CF9AE}" pid="4" name="KSOTemplateDocerSaveRecord">
    <vt:lpwstr>eyJoZGlkIjoiZDQ1NDg0NWI5NzA5OTU1ZWQ1Mzc0NTI3NTJlMGE2YTgiLCJ1c2VySWQiOiIxMTMzNTA0NTc0In0=</vt:lpwstr>
  </property>
</Properties>
</file>