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31c885120ce8fdf7780c93f94bc0f78bdf6f6db"/>
    <w:p>
      <w:pPr>
        <w:pStyle w:val="Heading1"/>
      </w:pPr>
      <w:r>
        <w:t xml:space="preserve">LeakSafe-CGN: A Hierarchical Multi-Task Network with Domain-Guided Causal Attribution and Conformal Abstention for Fingerprint Biometric Screening</w:t>
      </w:r>
    </w:p>
    <w:p>
      <w:pPr>
        <w:pStyle w:val="FirstParagraph"/>
      </w:pPr>
      <w:r>
        <w:rPr>
          <w:b/>
          <w:bCs/>
        </w:rPr>
        <w:t xml:space="preserve">Authors</w:t>
      </w:r>
      <w:r>
        <w:t xml:space="preserve">: [Author Names Omitted for Review]</w:t>
      </w:r>
      <w:r>
        <w:br/>
      </w:r>
      <w:r>
        <w:rPr>
          <w:b/>
          <w:bCs/>
        </w:rPr>
        <w:t xml:space="preserve">Affiliations</w:t>
      </w:r>
      <w:r>
        <w:t xml:space="preserve">: Department of Computer Science and Engineering / Biomedical Informatics</w:t>
      </w:r>
      <w:r>
        <w:br/>
      </w:r>
      <w:r>
        <w:rPr>
          <w:b/>
          <w:bCs/>
        </w:rPr>
        <w:t xml:space="preserve">Target Venue</w:t>
      </w:r>
      <w:r>
        <w:t xml:space="preserve">: IEEE Transactions on Information Forensics and Security / Pattern Recognition / Journal of Biomedical Informatics</w:t>
      </w:r>
    </w:p>
    <w:p>
      <w:r>
        <w:pict>
          <v:rect style="width:0;height:1.5pt" o:hralign="center" o:hrstd="t" o:hr="t"/>
        </w:pict>
      </w:r>
    </w:p>
    <w:bookmarkStart w:id="9" w:name="abstract"/>
    <w:p>
      <w:pPr>
        <w:pStyle w:val="Heading2"/>
      </w:pPr>
      <w:r>
        <w:t xml:space="preserve">Abstract</w:t>
      </w:r>
    </w:p>
    <w:p>
      <w:pPr>
        <w:pStyle w:val="FirstParagraph"/>
      </w:pPr>
      <w:r>
        <w:t xml:space="preserve">Recent machine learning studies report individual blood-group (ABO/Rh) classification from single fingerprint impressions with accuracies exceeding</w:t>
      </w:r>
      <w:r>
        <w:t xml:space="preserve"> </w:t>
      </w:r>
      <m:oMath>
        <m:r>
          <m:t>88</m:t>
        </m:r>
        <m:r>
          <m:rPr>
            <m:sty m:val="p"/>
          </m:rPr>
          <m:t>%</m:t>
        </m:r>
        <m:r>
          <m:rPr>
            <m:sty m:val="p"/>
          </m:rPr>
          <m:t>−</m:t>
        </m:r>
        <m:r>
          <m:t>91</m:t>
        </m:r>
        <m:r>
          <m:rPr>
            <m:sty m:val="p"/>
          </m:rPr>
          <m:t>%</m:t>
        </m:r>
      </m:oMath>
      <w:r>
        <w:t xml:space="preserve">. However, peer-reviewed dermatoglyphic and anthropological literature demonstrates only weak, population-level statistical associations between coarse ridge patterns and ABO antigens (</w:t>
      </w:r>
      <m:oMath>
        <m:r>
          <m:t>p</m:t>
        </m:r>
        <m:r>
          <m:rPr>
            <m:sty m:val="p"/>
          </m:rPr>
          <m:t>&lt;</m:t>
        </m:r>
        <m:r>
          <m:t>0.05</m:t>
        </m:r>
      </m:oMath>
      <w:r>
        <w:t xml:space="preserve">). This discrepancy between clinical priors and reported deep learning accuracy exposes critical risks of near-duplicate dataset leakage, sensor shortcut learning, and uncalibrated overconfidence.</w:t>
      </w:r>
    </w:p>
    <w:p>
      <w:pPr>
        <w:pStyle w:val="BodyText"/>
      </w:pPr>
      <w:r>
        <w:t xml:space="preserve">In this paper, we introduce</w:t>
      </w:r>
      <w:r>
        <w:t xml:space="preserve"> </w:t>
      </w:r>
      <w:r>
        <w:rPr>
          <w:b/>
          <w:bCs/>
        </w:rPr>
        <w:t xml:space="preserve">LeakSafe-CGN</w:t>
      </w:r>
      <w:r>
        <w:t xml:space="preserve"> </w:t>
      </w:r>
      <w:r>
        <w:t xml:space="preserve">(Leakage-audited, Confidence-Gated Network), a comprehensive framework designed to establish methodological, architectural, and interpretability rigor in dermatoglyphic phenotype prediction. First, we establish a</w:t>
      </w:r>
      <w:r>
        <w:t xml:space="preserve"> </w:t>
      </w:r>
      <w:r>
        <w:rPr>
          <w:b/>
          <w:bCs/>
        </w:rPr>
        <w:t xml:space="preserve">leakage-audited evaluation protocol</w:t>
      </w:r>
      <w:r>
        <w:t xml:space="preserve"> </w:t>
      </w:r>
      <w:r>
        <w:t xml:space="preserve">using 64-bit perceptual-hash pseudo-subject clustering and a randomized-label sanity control to eliminate partition contamination, proving that models collapse to chance accuracy (</w:t>
      </w:r>
      <m:oMath>
        <m:r>
          <m:rPr>
            <m:sty m:val="p"/>
          </m:rPr>
          <m:t>≈</m:t>
        </m:r>
        <m:r>
          <m:t>12.5</m:t>
        </m:r>
        <m:r>
          <m:rPr>
            <m:sty m:val="p"/>
          </m:rPr>
          <m:t>%</m:t>
        </m:r>
      </m:oMath>
      <w:r>
        <w:t xml:space="preserve">) under permuted labels. Second, we introduce a</w:t>
      </w:r>
      <w:r>
        <w:t xml:space="preserve"> </w:t>
      </w:r>
      <w:r>
        <w:rPr>
          <w:b/>
          <w:bCs/>
        </w:rPr>
        <w:t xml:space="preserve">biologically decoupled hierarchical architecture</w:t>
      </w:r>
      <w:r>
        <w:t xml:space="preserve"> </w:t>
      </w:r>
      <w:r>
        <w:t xml:space="preserve">that separates the independent genetic loci of ABO antigens (Chromosome 9) and Rh factor (Chromosome 1) into dedicated classification heads optimized via a joint multi-task objective, reinforced by continuous ridge-orientation guidance and trainable Convolutional Block Attention Modules (CBAM). Third, we replace classical edge heuristics with true</w:t>
      </w:r>
      <w:r>
        <w:t xml:space="preserve"> </w:t>
      </w:r>
      <w:r>
        <w:rPr>
          <w:b/>
          <w:bCs/>
        </w:rPr>
        <w:t xml:space="preserve">Grad-CAM++ higher-order gradient saliency</w:t>
      </w:r>
      <w:r>
        <w:t xml:space="preserve">, coupled with a spatial permutation null-model test for the Orientation-Attention Alignment Score (OAAS) and counterfactual minutiae-causal attribution (MCA). Finally, we implement</w:t>
      </w:r>
      <w:r>
        <w:t xml:space="preserve"> </w:t>
      </w:r>
      <w:r>
        <w:rPr>
          <w:b/>
          <w:bCs/>
        </w:rPr>
        <w:t xml:space="preserve">Split Conformal Prediction</w:t>
      </w:r>
      <w:r>
        <w:t xml:space="preserve"> </w:t>
      </w:r>
      <w:r>
        <w:t xml:space="preserve">with temperature scaling, converting forced overconfident guesses into distribution-free prediction sets with guaranteed finite-sample marginal coverage (</w:t>
      </w:r>
      <m:oMath>
        <m:r>
          <m:t>1</m:t>
        </m:r>
        <m:r>
          <m:rPr>
            <m:sty m:val="p"/>
          </m:rPr>
          <m:t>−</m:t>
        </m:r>
        <m:r>
          <m:t>α</m:t>
        </m:r>
        <m:r>
          <m:rPr>
            <m:sty m:val="p"/>
          </m:rPr>
          <m:t>=</m:t>
        </m:r>
        <m:r>
          <m:t>0.90</m:t>
        </m:r>
      </m:oMath>
      <w:r>
        <w:t xml:space="preserve">) and a formal clinical abstention option (</w:t>
      </w:r>
      <w:r>
        <w:rPr>
          <w:rStyle w:val="VerbatimChar"/>
        </w:rPr>
        <w:t xml:space="preserve">PREDICTION_WITHHELD</w:t>
      </w:r>
      <w:r>
        <w:t xml:space="preserve">) for ambiguous impressions. Extensive ablations, 10-model baseline comparisons, and ANOVA effect size analyses (</w:t>
      </w:r>
      <m:oMath>
        <m:sSup>
          <m:e>
            <m:r>
              <m:t>η</m:t>
            </m:r>
          </m:e>
          <m:sup>
            <m:r>
              <m:t>2</m:t>
            </m:r>
          </m:sup>
        </m:sSup>
      </m:oMath>
      <w:r>
        <w:t xml:space="preserve">) confirm that LeakSafe-CGN bridges deep learning capability with scientific defensibility, establishing a transparent foundation for rapid biometric screening.</w:t>
      </w:r>
    </w:p>
    <w:p>
      <w:pPr>
        <w:pStyle w:val="BodyText"/>
      </w:pPr>
      <w:r>
        <w:rPr>
          <w:b/>
          <w:bCs/>
        </w:rPr>
        <w:t xml:space="preserve">Keywords</w:t>
      </w:r>
      <w:r>
        <w:t xml:space="preserve">: Dermatoglyphics, Biometric Phenotyping, Deep Learning, Explainable AI, Grad-CAM++, Conformal Prediction, Multi-Task Learning, Leakage Audit.</w:t>
      </w:r>
    </w:p>
    <w:p>
      <w:r>
        <w:pict>
          <v:rect style="width:0;height:1.5pt" o:hralign="center" o:hrstd="t" o:hr="t"/>
        </w:pict>
      </w:r>
    </w:p>
    <w:bookmarkEnd w:id="9"/>
    <w:bookmarkStart w:id="14" w:name="introduction"/>
    <w:p>
      <w:pPr>
        <w:pStyle w:val="Heading2"/>
      </w:pPr>
      <w:r>
        <w:t xml:space="preserve">1. Introduction</w:t>
      </w:r>
    </w:p>
    <w:bookmarkStart w:id="10" w:name="problem-statement"/>
    <w:p>
      <w:pPr>
        <w:pStyle w:val="Heading3"/>
      </w:pPr>
      <w:r>
        <w:t xml:space="preserve">1.1 Problem Statement</w:t>
      </w:r>
    </w:p>
    <w:p>
      <w:pPr>
        <w:pStyle w:val="FirstParagraph"/>
      </w:pPr>
      <w:r>
        <w:t xml:space="preserve">The ability to rapidly and non-invasively classify human blood groups (ABO and Rh factor) carries significant implications for forensic identification, mass-casualty triage, and resource-constrained medical screening. Dermatoglyphic patterns—the epidermal ridges on palmar and plantar surfaces—develop early in human gestation and remain permanent. Consequently, the potential association between fingerprint morphology and hematological phenotypes has been an enduring topic of research.</w:t>
      </w:r>
    </w:p>
    <w:bookmarkEnd w:id="10"/>
    <w:bookmarkStart w:id="11" w:name="existing-evidence"/>
    <w:p>
      <w:pPr>
        <w:pStyle w:val="Heading3"/>
      </w:pPr>
      <w:r>
        <w:t xml:space="preserve">1.2 Existing Evidence</w:t>
      </w:r>
    </w:p>
    <w:p>
      <w:pPr>
        <w:pStyle w:val="FirstParagraph"/>
      </w:pPr>
      <w:r>
        <w:t xml:space="preserve">Clinical and anthropological studies (e.g., Susmiarsih et al., 2016; Bharadwaja et al., 2004) have consistently investigated these associations. The established consensus in the peer-reviewed medical literature is that correlations between classical dermatoglyphic macro-patterns (loops, whorls, arches) and ABO/Rh groups exist, but strictly as</w:t>
      </w:r>
      <w:r>
        <w:t xml:space="preserve"> </w:t>
      </w:r>
      <w:r>
        <w:rPr>
          <w:b/>
          <w:bCs/>
        </w:rPr>
        <w:t xml:space="preserve">weak, population-level statistical tendencies</w:t>
      </w:r>
      <w:r>
        <w:t xml:space="preserve">. For example, loops may be modestly more prevalent in blood group B, but individual inter-class overlap is massive. Crucially, existing clinical evidence does not support the hypothesis that a single fingerprint image contains sufficient deterministic information to classify an individual’s complete 8-way ABO/Rh status.</w:t>
      </w:r>
    </w:p>
    <w:bookmarkEnd w:id="11"/>
    <w:bookmarkStart w:id="12" w:name="the-research-gap"/>
    <w:p>
      <w:pPr>
        <w:pStyle w:val="Heading3"/>
      </w:pPr>
      <w:r>
        <w:t xml:space="preserve">1.3 The Research Gap</w:t>
      </w:r>
    </w:p>
    <w:p>
      <w:pPr>
        <w:pStyle w:val="FirstParagraph"/>
      </w:pPr>
      <w:r>
        <w:t xml:space="preserve">In stark contrast to this clinical consensus, recent applied deep learning studies have reported classification accuracies of</w:t>
      </w:r>
      <w:r>
        <w:t xml:space="preserve"> </w:t>
      </w:r>
      <m:oMath>
        <m:r>
          <m:t>85</m:t>
        </m:r>
        <m:r>
          <m:rPr>
            <m:sty m:val="p"/>
          </m:rPr>
          <m:t>%</m:t>
        </m:r>
      </m:oMath>
      <w:r>
        <w:t xml:space="preserve"> </w:t>
      </w:r>
      <w:r>
        <w:t xml:space="preserve">to</w:t>
      </w:r>
      <w:r>
        <w:t xml:space="preserve"> </w:t>
      </w:r>
      <m:oMath>
        <m:r>
          <m:t>91</m:t>
        </m:r>
        <m:r>
          <m:rPr>
            <m:sty m:val="p"/>
          </m:rPr>
          <m:t>%</m:t>
        </m:r>
      </m:oMath>
      <w:r>
        <w:t xml:space="preserve"> </w:t>
      </w:r>
      <w:r>
        <w:t xml:space="preserve">using flat 8-class convolutional neural networks trained on public fingerprint corpora. This profound disconnect between anthropological priors and reported algorithmic accuracy exposes four critical methodological vulnerabilities in current computational approaches:</w:t>
      </w:r>
      <w:r>
        <w:t xml:space="preserve"> </w:t>
      </w:r>
      <w:r>
        <w:t xml:space="preserve">1.</w:t>
      </w:r>
      <w:r>
        <w:t xml:space="preserve"> </w:t>
      </w:r>
      <w:r>
        <w:rPr>
          <w:b/>
          <w:bCs/>
        </w:rPr>
        <w:t xml:space="preserve">Unmitigated Identity Leakage</w:t>
      </w:r>
      <w:r>
        <w:t xml:space="preserve">: Single-source public datasets often lack donor identifiers. Random image-level train/test splits inadvertently cause impressions from the same donor to contaminate both partitions, allowing models to memorize near-duplicate artifacts rather than true phenotypic morphology.</w:t>
      </w:r>
      <w:r>
        <w:t xml:space="preserve"> </w:t>
      </w:r>
      <w:r>
        <w:t xml:space="preserve">2.</w:t>
      </w:r>
      <w:r>
        <w:t xml:space="preserve"> </w:t>
      </w:r>
      <w:r>
        <w:rPr>
          <w:b/>
          <w:bCs/>
        </w:rPr>
        <w:t xml:space="preserve">Biological Incoherence</w:t>
      </w:r>
      <w:r>
        <w:t xml:space="preserve">: ABO antigens (Chromosome 9) and the Rhesus factor (Chromosome 1) are genetically unlinked. A flat 8-class softmax equates independent genetic mismatches, ignoring the underlying biological hierarchy.</w:t>
      </w:r>
      <w:r>
        <w:t xml:space="preserve"> </w:t>
      </w:r>
      <w:r>
        <w:t xml:space="preserve">3.</w:t>
      </w:r>
      <w:r>
        <w:t xml:space="preserve"> </w:t>
      </w:r>
      <w:r>
        <w:rPr>
          <w:b/>
          <w:bCs/>
        </w:rPr>
        <w:t xml:space="preserve">Overconfidence and Forced Prediction</w:t>
      </w:r>
      <w:r>
        <w:t xml:space="preserve">: Standard classification networks force point predictions regardless of input degradation. In medical-adjacent domains, failing to quantify uncertainty or provide an abstention mechanism is hazardous.</w:t>
      </w:r>
      <w:r>
        <w:t xml:space="preserve"> </w:t>
      </w:r>
      <w:r>
        <w:t xml:space="preserve">4.</w:t>
      </w:r>
      <w:r>
        <w:t xml:space="preserve"> </w:t>
      </w:r>
      <w:r>
        <w:rPr>
          <w:b/>
          <w:bCs/>
        </w:rPr>
        <w:t xml:space="preserve">Unverified Spatial Attribution</w:t>
      </w:r>
      <w:r>
        <w:t xml:space="preserve">: Many existing studies utilize qualitative edge-detection proxies or unverified saliency maps, providing false reassurance that the network is attending to anatomical ridge flow.</w:t>
      </w:r>
    </w:p>
    <w:bookmarkEnd w:id="12"/>
    <w:bookmarkStart w:id="13" w:name="specific-contributions"/>
    <w:p>
      <w:pPr>
        <w:pStyle w:val="Heading3"/>
      </w:pPr>
      <w:r>
        <w:t xml:space="preserve">1.4 Specific Contributions</w:t>
      </w:r>
    </w:p>
    <w:p>
      <w:pPr>
        <w:pStyle w:val="FirstParagraph"/>
      </w:pPr>
      <w:r>
        <w:t xml:space="preserve">To bridge this gap between deep learning capability and scientific defensibility, this paper introduces</w:t>
      </w:r>
      <w:r>
        <w:t xml:space="preserve"> </w:t>
      </w:r>
      <w:r>
        <w:rPr>
          <w:b/>
          <w:bCs/>
        </w:rPr>
        <w:t xml:space="preserve">LeakSafe-CGN</w:t>
      </w:r>
      <w:r>
        <w:t xml:space="preserve">, an exploratory biometric research framework. Rather than claiming unprecedented raw accuracy or a</w:t>
      </w:r>
      <w:r>
        <w:t xml:space="preserve"> </w:t>
      </w:r>
      <w:r>
        <w:t xml:space="preserve">“first-ever”</w:t>
      </w:r>
      <w:r>
        <w:t xml:space="preserve"> </w:t>
      </w:r>
      <w:r>
        <w:t xml:space="preserve">mechanism, our contribution centers on the integration of rigorous methodological constraints to ensure evaluated performance reflects biological morphology rather than experimental artifact. Specifically, we contribute a verified combination of:</w:t>
      </w:r>
      <w:r>
        <w:t xml:space="preserve"> </w:t>
      </w:r>
      <w:r>
        <w:t xml:space="preserve">1.</w:t>
      </w:r>
      <w:r>
        <w:t xml:space="preserve"> </w:t>
      </w:r>
      <w:r>
        <w:rPr>
          <w:b/>
          <w:bCs/>
        </w:rPr>
        <w:t xml:space="preserve">Leakage Mitigation</w:t>
      </w:r>
      <w:r>
        <w:t xml:space="preserve">: A 64-bit perceptual-hash (pHash) near-duplicate grouping protocol combined with a randomized-label negative control.</w:t>
      </w:r>
      <w:r>
        <w:t xml:space="preserve"> </w:t>
      </w:r>
      <w:r>
        <w:t xml:space="preserve">2.</w:t>
      </w:r>
      <w:r>
        <w:t xml:space="preserve"> </w:t>
      </w:r>
      <w:r>
        <w:rPr>
          <w:b/>
          <w:bCs/>
        </w:rPr>
        <w:t xml:space="preserve">Decoupled Multi-Task Formulation</w:t>
      </w:r>
      <w:r>
        <w:t xml:space="preserve">: A hierarchical architecture that separates the ABO and Rh targets into independent classification heads optimized via a joint multi-task objective.</w:t>
      </w:r>
      <w:r>
        <w:t xml:space="preserve"> </w:t>
      </w:r>
      <w:r>
        <w:t xml:space="preserve">3.</w:t>
      </w:r>
      <w:r>
        <w:t xml:space="preserve"> </w:t>
      </w:r>
      <w:r>
        <w:rPr>
          <w:b/>
          <w:bCs/>
        </w:rPr>
        <w:t xml:space="preserve">Uncertainty Quantification</w:t>
      </w:r>
      <w:r>
        <w:t xml:space="preserve">: The application of Temperature Scaling and Split Conformal Prediction to establish a functional abstention mechanism (</w:t>
      </w:r>
      <w:r>
        <w:rPr>
          <w:rStyle w:val="VerbatimChar"/>
        </w:rPr>
        <w:t xml:space="preserve">PREDICTION_WITHHELD</w:t>
      </w:r>
      <w:r>
        <w:t xml:space="preserve">) for ambiguous impressions.</w:t>
      </w:r>
      <w:r>
        <w:t xml:space="preserve"> </w:t>
      </w:r>
      <w:r>
        <w:t xml:space="preserve">4.</w:t>
      </w:r>
      <w:r>
        <w:t xml:space="preserve"> </w:t>
      </w:r>
      <w:r>
        <w:rPr>
          <w:b/>
          <w:bCs/>
        </w:rPr>
        <w:t xml:space="preserve">Attribution Analysis</w:t>
      </w:r>
      <w:r>
        <w:t xml:space="preserve">: The deployment of Grad-CAM++ integrated with an Orientation-Attention Alignment Score (OAAS) and Minutiae-Causal Attribution (MCA) to evaluate the spatial alignment of model reasoning against true ridge structures.</w:t>
      </w:r>
    </w:p>
    <w:p>
      <w:r>
        <w:pict>
          <v:rect style="width:0;height:1.5pt" o:hralign="center" o:hrstd="t" o:hr="t"/>
        </w:pict>
      </w:r>
    </w:p>
    <w:bookmarkEnd w:id="13"/>
    <w:bookmarkEnd w:id="14"/>
    <w:bookmarkStart w:id="18" w:name="related-work-and-literature-gap-analysis"/>
    <w:p>
      <w:pPr>
        <w:pStyle w:val="Heading2"/>
      </w:pPr>
      <w:r>
        <w:t xml:space="preserve">2. Related Work and Literature Gap Analysis</w:t>
      </w:r>
    </w:p>
    <w:bookmarkStart w:id="15" w:name="Xef7fbca337de1e29a73004fd34f109f366b98a4"/>
    <w:p>
      <w:pPr>
        <w:pStyle w:val="Heading3"/>
      </w:pPr>
      <w:r>
        <w:t xml:space="preserve">2.1 Dermatoglyphics and Hematological Associations</w:t>
      </w:r>
    </w:p>
    <w:p>
      <w:pPr>
        <w:pStyle w:val="FirstParagraph"/>
      </w:pPr>
      <w:r>
        <w:t xml:space="preserve">Classical studies have examined the statistical distribution of dermatoglyphic patterns across ABO blood phenotypes:</w:t>
      </w:r>
      <w:r>
        <w:t xml:space="preserve"> </w:t>
      </w:r>
      <w:r>
        <w:t xml:space="preserve">*</w:t>
      </w:r>
      <w:r>
        <w:t xml:space="preserve"> </w:t>
      </w:r>
      <w:r>
        <w:rPr>
          <w:b/>
          <w:bCs/>
        </w:rPr>
        <w:t xml:space="preserve">Susmiarsih et al. (2016)</w:t>
      </w:r>
      <w:r>
        <w:t xml:space="preserve"> </w:t>
      </w:r>
      <w:r>
        <w:t xml:space="preserve">evaluated 302 subjects, finding loops most frequent in group B (</w:t>
      </w:r>
      <m:oMath>
        <m:r>
          <m:t>60.36</m:t>
        </m:r>
        <m:r>
          <m:rPr>
            <m:sty m:val="p"/>
          </m:rPr>
          <m:t>%</m:t>
        </m:r>
      </m:oMath>
      <w:r>
        <w:t xml:space="preserve">), whorls most frequent in group O (</w:t>
      </w:r>
      <m:oMath>
        <m:r>
          <m:t>40.45</m:t>
        </m:r>
        <m:r>
          <m:rPr>
            <m:sty m:val="p"/>
          </m:rPr>
          <m:t>%</m:t>
        </m:r>
      </m:oMath>
      <w:r>
        <w:t xml:space="preserve">), and arches most frequent in group AB (</w:t>
      </w:r>
      <m:oMath>
        <m:r>
          <m:t>5.12</m:t>
        </m:r>
        <m:r>
          <m:rPr>
            <m:sty m:val="p"/>
          </m:rPr>
          <m:t>%</m:t>
        </m:r>
      </m:oMath>
      <w:r>
        <w:t xml:space="preserve">). While statistically significant (</w:t>
      </w:r>
      <m:oMath>
        <m:sSup>
          <m:e>
            <m:r>
              <m:t>χ</m:t>
            </m:r>
          </m:e>
          <m:sup>
            <m:r>
              <m:t>2</m:t>
            </m:r>
          </m:sup>
        </m:sSup>
        <m:r>
          <m:rPr>
            <m:sty m:val="p"/>
          </m:rPr>
          <m:t>,</m:t>
        </m:r>
        <m:r>
          <m:t>p</m:t>
        </m:r>
        <m:r>
          <m:rPr>
            <m:sty m:val="p"/>
          </m:rPr>
          <m:t>&lt;</m:t>
        </m:r>
        <m:r>
          <m:t>0.05</m:t>
        </m:r>
      </m:oMath>
      <w:r>
        <w:t xml:space="preserve">), the effect sizes were small, concluding that patterns represent population skews rather than deterministic markers.</w:t>
      </w:r>
      <w:r>
        <w:t xml:space="preserve"> </w:t>
      </w:r>
      <w:r>
        <w:t xml:space="preserve">*</w:t>
      </w:r>
      <w:r>
        <w:t xml:space="preserve"> </w:t>
      </w:r>
      <w:r>
        <w:rPr>
          <w:b/>
          <w:bCs/>
        </w:rPr>
        <w:t xml:space="preserve">Bharadwaja et al. (2004)</w:t>
      </w:r>
      <w:r>
        <w:t xml:space="preserve"> </w:t>
      </w:r>
      <w:r>
        <w:t xml:space="preserve">analyzed forensic ink prints across Indian cohorts, corroborating that while pattern frequencies differ between Rh-positive and Rh-negative individuals, inter-individual overlap prevents direct individual identification.</w:t>
      </w:r>
    </w:p>
    <w:bookmarkEnd w:id="15"/>
    <w:bookmarkStart w:id="16" w:name="X5f15a61ce9ed895a647ec60f3f62a239164eae2"/>
    <w:p>
      <w:pPr>
        <w:pStyle w:val="Heading3"/>
      </w:pPr>
      <w:r>
        <w:t xml:space="preserve">2.2 Deep Learning Approaches for Fingerprint Blood Grouping</w:t>
      </w:r>
    </w:p>
    <w:p>
      <w:pPr>
        <w:pStyle w:val="Compact"/>
        <w:numPr>
          <w:ilvl w:val="0"/>
          <w:numId w:val="1001"/>
        </w:numPr>
      </w:pPr>
      <w:r>
        <w:rPr>
          <w:b/>
          <w:bCs/>
        </w:rPr>
        <w:t xml:space="preserve">Phadke et al. (2025)</w:t>
      </w:r>
      <w:r>
        <w:t xml:space="preserve"> </w:t>
      </w:r>
      <w:r>
        <w:t xml:space="preserve">applied convolutional networks to Kaggle fingerprint datasets, reporting</w:t>
      </w:r>
      <w:r>
        <w:t xml:space="preserve"> </w:t>
      </w:r>
      <m:oMath>
        <m:r>
          <m:rPr>
            <m:sty m:val="p"/>
          </m:rPr>
          <m:t>∼</m:t>
        </m:r>
        <m:r>
          <m:t>88</m:t>
        </m:r>
        <m:r>
          <m:rPr>
            <m:sty m:val="p"/>
          </m:rPr>
          <m:t>%</m:t>
        </m:r>
      </m:oMath>
      <w:r>
        <w:t xml:space="preserve"> </w:t>
      </w:r>
      <w:r>
        <w:t xml:space="preserve">nominal accuracy. However, data splitting was performed at the image level without subject grouping or leakage audits.</w:t>
      </w:r>
    </w:p>
    <w:p>
      <w:pPr>
        <w:pStyle w:val="Compact"/>
        <w:numPr>
          <w:ilvl w:val="0"/>
          <w:numId w:val="1001"/>
        </w:numPr>
      </w:pPr>
      <w:r>
        <w:rPr>
          <w:b/>
          <w:bCs/>
        </w:rPr>
        <w:t xml:space="preserve">Swathi et al. (2024)</w:t>
      </w:r>
      <w:r>
        <w:t xml:space="preserve"> </w:t>
      </w:r>
      <w:r>
        <w:t xml:space="preserve">explored standard CNN backbones on similar datasets, reaching high test accuracies without calibrating probabilities or providing statistical significance tests against chance baselines.</w:t>
      </w:r>
    </w:p>
    <w:p>
      <w:pPr>
        <w:pStyle w:val="Compact"/>
        <w:numPr>
          <w:ilvl w:val="0"/>
          <w:numId w:val="1001"/>
        </w:numPr>
      </w:pPr>
      <w:r>
        <w:rPr>
          <w:b/>
          <w:bCs/>
        </w:rPr>
        <w:t xml:space="preserve">ScienceDirect Survey (2026)</w:t>
      </w:r>
      <w:r>
        <w:t xml:space="preserve"> </w:t>
      </w:r>
      <w:r>
        <w:t xml:space="preserve">evaluated deep architectures (ResNet, VGG) for biometric healthcare, emphasizing feature representations but omitting conformal uncertainty guarantees.</w:t>
      </w:r>
    </w:p>
    <w:bookmarkEnd w:id="16"/>
    <w:bookmarkStart w:id="17" w:name="methodological-gaps"/>
    <w:p>
      <w:pPr>
        <w:pStyle w:val="Heading3"/>
      </w:pPr>
      <w:r>
        <w:t xml:space="preserve">2.3 Methodological Gaps</w:t>
      </w:r>
    </w:p>
    <w:p>
      <w:pPr>
        <w:pStyle w:val="FirstParagraph"/>
      </w:pPr>
      <w:r>
        <w:t xml:space="preserve">As summarized in Table 1, prior works uniformly lack subject-independent split audits, biological target decoupling, and formal uncertainty-gated abstention policies.</w:t>
      </w:r>
    </w:p>
    <w:p>
      <w:pPr>
        <w:pStyle w:val="BodyText"/>
      </w:pPr>
      <w:r>
        <w:rPr>
          <w:b/>
          <w:bCs/>
        </w:rPr>
        <w:t xml:space="preserve">Table 1: Literature Comparative Matrix</w:t>
      </w:r>
      <w:r>
        <w:t xml:space="preserve"> </w:t>
      </w:r>
      <w:r>
        <w:t xml:space="preserve">| Citation | Backbone / Method | Dataset Split Protocol | Target Formulation | XAI Verification | Uncertainty / Rejection |</w:t>
      </w:r>
      <w:r>
        <w:t xml:space="preserve"> </w:t>
      </w:r>
      <w:r>
        <w:t xml:space="preserve">| :— | :— | :— | :— | :— | :— |</w:t>
      </w:r>
      <w:r>
        <w:t xml:space="preserve"> </w:t>
      </w:r>
      <w:r>
        <w:t xml:space="preserve">|</w:t>
      </w:r>
      <w:r>
        <w:t xml:space="preserve"> </w:t>
      </w:r>
      <w:r>
        <w:rPr>
          <w:i/>
          <w:iCs/>
        </w:rPr>
        <w:t xml:space="preserve">Phadke et al. (2025)</w:t>
      </w:r>
      <w:r>
        <w:t xml:space="preserve"> </w:t>
      </w:r>
      <w:r>
        <w:t xml:space="preserve">| Custom CNN | Random Image Split | Flat 8-Class | None | None (Forced Guess) |</w:t>
      </w:r>
      <w:r>
        <w:t xml:space="preserve"> </w:t>
      </w:r>
      <w:r>
        <w:t xml:space="preserve">|</w:t>
      </w:r>
      <w:r>
        <w:t xml:space="preserve"> </w:t>
      </w:r>
      <w:r>
        <w:rPr>
          <w:i/>
          <w:iCs/>
        </w:rPr>
        <w:t xml:space="preserve">Swathi et al. (2024)</w:t>
      </w:r>
      <w:r>
        <w:t xml:space="preserve"> </w:t>
      </w:r>
      <w:r>
        <w:t xml:space="preserve">| Standard CNN | Random Image Split | Flat 8-Class | Qualitative CAM | None (Forced Guess) |</w:t>
      </w:r>
      <w:r>
        <w:t xml:space="preserve"> </w:t>
      </w:r>
      <w:r>
        <w:t xml:space="preserve">|</w:t>
      </w:r>
      <w:r>
        <w:t xml:space="preserve"> </w:t>
      </w:r>
      <w:r>
        <w:rPr>
          <w:i/>
          <w:iCs/>
        </w:rPr>
        <w:t xml:space="preserve">[Author et al., 2026]</w:t>
      </w:r>
      <w:r>
        <w:t xml:space="preserve"> </w:t>
      </w:r>
      <w:r>
        <w:t xml:space="preserve">| ResNet50 / VGG | Stratified Random | Flat 8-Class | Heatmap Visuals | Uncalibrated Softmax |</w:t>
      </w:r>
      <w:r>
        <w:t xml:space="preserve"> </w:t>
      </w:r>
      <w:r>
        <w:t xml:space="preserve">|</w:t>
      </w:r>
      <w:r>
        <w:t xml:space="preserve"> </w:t>
      </w:r>
      <w:r>
        <w:rPr>
          <w:b/>
          <w:bCs/>
        </w:rPr>
        <w:t xml:space="preserve">LeakSafe-CGN (Ours)</w:t>
      </w:r>
      <w:r>
        <w:t xml:space="preserve"> </w:t>
      </w:r>
      <w:r>
        <w:t xml:space="preserve">|</w:t>
      </w:r>
      <w:r>
        <w:t xml:space="preserve"> </w:t>
      </w:r>
      <w:r>
        <w:rPr>
          <w:b/>
          <w:bCs/>
        </w:rPr>
        <w:t xml:space="preserve">EfficientNet + CBAM</w:t>
      </w:r>
      <w:r>
        <w:t xml:space="preserve"> </w:t>
      </w:r>
      <w:r>
        <w:t xml:space="preserve">|</w:t>
      </w:r>
      <w:r>
        <w:t xml:space="preserve"> </w:t>
      </w:r>
      <w:r>
        <w:rPr>
          <w:b/>
          <w:bCs/>
        </w:rPr>
        <w:t xml:space="preserve">pHash-based pseudo-subject / near-duplicate grouping</w:t>
      </w:r>
      <w:r>
        <w:t xml:space="preserve"> </w:t>
      </w:r>
      <w:r>
        <w:t xml:space="preserve">|</w:t>
      </w:r>
      <w:r>
        <w:t xml:space="preserve"> </w:t>
      </w:r>
      <w:r>
        <w:rPr>
          <w:b/>
          <w:bCs/>
        </w:rPr>
        <w:t xml:space="preserve">Decoupled Multi-Task (ABO + Rh + Joint 8-Class)</w:t>
      </w:r>
      <w:r>
        <w:t xml:space="preserve"> </w:t>
      </w:r>
      <w:r>
        <w:t xml:space="preserve">|</w:t>
      </w:r>
      <w:r>
        <w:t xml:space="preserve"> </w:t>
      </w:r>
      <w:r>
        <w:rPr>
          <w:b/>
          <w:bCs/>
        </w:rPr>
        <w:t xml:space="preserve">Grad-CAM++ &amp; Null OAAS</w:t>
      </w:r>
      <w:r>
        <w:t xml:space="preserve"> </w:t>
      </w:r>
      <w:r>
        <w:t xml:space="preserve">|</w:t>
      </w:r>
      <w:r>
        <w:t xml:space="preserve"> </w:t>
      </w:r>
      <w:r>
        <w:rPr>
          <w:b/>
          <w:bCs/>
        </w:rPr>
        <w:t xml:space="preserve">Split Conformal Sets</w:t>
      </w:r>
      <w:r>
        <w:t xml:space="preserve"> </w:t>
      </w:r>
      <w:r>
        <w:t xml:space="preserve">|</w:t>
      </w:r>
    </w:p>
    <w:p>
      <w:r>
        <w:pict>
          <v:rect style="width:0;height:1.5pt" o:hralign="center" o:hrstd="t" o:hr="t"/>
        </w:pict>
      </w:r>
    </w:p>
    <w:bookmarkEnd w:id="17"/>
    <w:bookmarkEnd w:id="18"/>
    <w:bookmarkStart w:id="31" w:name="materials-and-methods"/>
    <w:p>
      <w:pPr>
        <w:pStyle w:val="Heading2"/>
      </w:pPr>
      <w:r>
        <w:t xml:space="preserve">3. Materials and Methods</w:t>
      </w:r>
    </w:p>
    <w:bookmarkStart w:id="19" w:name="dataset-and-problem-formulation"/>
    <w:p>
      <w:pPr>
        <w:pStyle w:val="Heading3"/>
      </w:pPr>
      <w:r>
        <w:t xml:space="preserve">3.1 Dataset and Problem Formulation</w:t>
      </w:r>
    </w:p>
    <w:p>
      <w:pPr>
        <w:pStyle w:val="FirstParagraph"/>
      </w:pPr>
      <w:r>
        <w:t xml:space="preserve">Experiments were conducted on Dataset A, a corpus of 5,837 fingerprint images representing eight phenotype classes:</w:t>
      </w:r>
      <w:r>
        <w:t xml:space="preserve"> </w:t>
      </w:r>
      <m:oMath>
        <m:sSup>
          <m:e>
            <m:r>
              <m:t>A</m:t>
            </m:r>
          </m:e>
          <m:sup>
            <m:r>
              <m:rPr>
                <m:sty m:val="p"/>
              </m:rPr>
              <m:t>+</m:t>
            </m:r>
          </m:sup>
        </m:sSup>
      </m:oMath>
      <w:r>
        <w:t xml:space="preserve">,</w:t>
      </w:r>
      <w:r>
        <w:t xml:space="preserve"> </w:t>
      </w:r>
      <m:oMath>
        <m:sSup>
          <m:e>
            <m:r>
              <m:t>A</m:t>
            </m:r>
          </m:e>
          <m:sup>
            <m:r>
              <m:rPr>
                <m:sty m:val="p"/>
              </m:rPr>
              <m:t>−</m:t>
            </m:r>
          </m:sup>
        </m:sSup>
      </m:oMath>
      <w:r>
        <w:t xml:space="preserve">,</w:t>
      </w:r>
      <w:r>
        <w:t xml:space="preserve"> </w:t>
      </w:r>
      <m:oMath>
        <m:r>
          <m:t>A</m:t>
        </m:r>
        <m:sSup>
          <m:e>
            <m:r>
              <m:t>B</m:t>
            </m:r>
          </m:e>
          <m:sup>
            <m:r>
              <m:rPr>
                <m:sty m:val="p"/>
              </m:rPr>
              <m:t>+</m:t>
            </m:r>
          </m:sup>
        </m:sSup>
      </m:oMath>
      <w:r>
        <w:t xml:space="preserve">,</w:t>
      </w:r>
      <w:r>
        <w:t xml:space="preserve"> </w:t>
      </w:r>
      <m:oMath>
        <m:r>
          <m:t>A</m:t>
        </m:r>
        <m:sSup>
          <m:e>
            <m:r>
              <m:t>B</m:t>
            </m:r>
          </m:e>
          <m:sup>
            <m:r>
              <m:rPr>
                <m:sty m:val="p"/>
              </m:rPr>
              <m:t>−</m:t>
            </m:r>
          </m:sup>
        </m:sSup>
      </m:oMath>
      <w:r>
        <w:t xml:space="preserve">,</w:t>
      </w:r>
      <w:r>
        <w:t xml:space="preserve"> </w:t>
      </w:r>
      <m:oMath>
        <m:sSup>
          <m:e>
            <m:r>
              <m:t>B</m:t>
            </m:r>
          </m:e>
          <m:sup>
            <m:r>
              <m:rPr>
                <m:sty m:val="p"/>
              </m:rPr>
              <m:t>+</m:t>
            </m:r>
          </m:sup>
        </m:sSup>
      </m:oMath>
      <w:r>
        <w:t xml:space="preserve">,</w:t>
      </w:r>
      <w:r>
        <w:t xml:space="preserve"> </w:t>
      </w:r>
      <m:oMath>
        <m:sSup>
          <m:e>
            <m:r>
              <m:t>B</m:t>
            </m:r>
          </m:e>
          <m:sup>
            <m:r>
              <m:rPr>
                <m:sty m:val="p"/>
              </m:rPr>
              <m:t>−</m:t>
            </m:r>
          </m:sup>
        </m:sSup>
      </m:oMath>
      <w:r>
        <w:t xml:space="preserve">,</w:t>
      </w:r>
      <w:r>
        <w:t xml:space="preserve"> </w:t>
      </w:r>
      <m:oMath>
        <m:sSup>
          <m:e>
            <m:r>
              <m:t>O</m:t>
            </m:r>
          </m:e>
          <m:sup>
            <m:r>
              <m:rPr>
                <m:sty m:val="p"/>
              </m:rPr>
              <m:t>+</m:t>
            </m:r>
          </m:sup>
        </m:sSup>
      </m:oMath>
      <w:r>
        <w:t xml:space="preserve">, and</w:t>
      </w:r>
      <w:r>
        <w:t xml:space="preserve"> </w:t>
      </w:r>
      <m:oMath>
        <m:sSup>
          <m:e>
            <m:r>
              <m:t>O</m:t>
            </m:r>
          </m:e>
          <m:sup>
            <m:r>
              <m:rPr>
                <m:sty m:val="p"/>
              </m:rPr>
              <m:t>−</m:t>
            </m:r>
          </m:sup>
        </m:sSup>
      </m:oMath>
      <w:r>
        <w:t xml:space="preserve">. The problem is formulated in three distinct ways: a 4-class ABO formulation (</w:t>
      </w:r>
      <m:oMath>
        <m:r>
          <m:t>A</m:t>
        </m:r>
      </m:oMath>
      <w:r>
        <w:t xml:space="preserve">/</w:t>
      </w:r>
      <m:oMath>
        <m:r>
          <m:t>B</m:t>
        </m:r>
      </m:oMath>
      <w:r>
        <w:t xml:space="preserve">/</w:t>
      </w:r>
      <m:oMath>
        <m:r>
          <m:t>A</m:t>
        </m:r>
        <m:r>
          <m:t>B</m:t>
        </m:r>
      </m:oMath>
      <w:r>
        <w:t xml:space="preserve">/</w:t>
      </w:r>
      <m:oMath>
        <m:r>
          <m:t>O</m:t>
        </m:r>
      </m:oMath>
      <w:r>
        <w:t xml:space="preserve">), a binary Rh formulation (positive/negative), and a joint 8-class formulation predicting the exact blood group phenotype. Due to natural demographic variations, the dataset exhibits class imbalance, which we address through class weights during model training. We note specific dataset limitations: an audit confirms that the raw dataset does not provide individual donor IDs, age, sex, or finger indices, necessitating a robust mitigation strategy for identity leakage.</w:t>
      </w:r>
    </w:p>
    <w:bookmarkEnd w:id="19"/>
    <w:bookmarkStart w:id="20" w:name="data-preprocessing"/>
    <w:p>
      <w:pPr>
        <w:pStyle w:val="Heading3"/>
      </w:pPr>
      <w:r>
        <w:t xml:space="preserve">3.2 Data Preprocessing</w:t>
      </w:r>
    </w:p>
    <w:p>
      <w:pPr>
        <w:pStyle w:val="FirstParagraph"/>
      </w:pPr>
      <w:r>
        <w:t xml:space="preserve">The preprocessing pipeline is strictly defined. Images are converted to grayscale and resized to a standard</w:t>
      </w:r>
      <w:r>
        <w:t xml:space="preserve"> </w:t>
      </w:r>
      <m:oMath>
        <m:r>
          <m:t>224</m:t>
        </m:r>
        <m:r>
          <m:rPr>
            <m:sty m:val="p"/>
          </m:rPr>
          <m:t>×</m:t>
        </m:r>
        <m:r>
          <m:t>224</m:t>
        </m:r>
      </m:oMath>
      <w:r>
        <w:t xml:space="preserve"> </w:t>
      </w:r>
      <w:r>
        <w:t xml:space="preserve">resolution. Contrast Limited Adaptive Histogram Equalization (CLAHE) is applied with a clip limit of 2.6 to normalize ridge-valley contrast. To reduce high-frequency sensor noise, we apply</w:t>
      </w:r>
      <w:r>
        <w:t xml:space="preserve"> </w:t>
      </w:r>
      <m:oMath>
        <m:r>
          <m:t>3</m:t>
        </m:r>
        <m:r>
          <m:rPr>
            <m:sty m:val="p"/>
          </m:rPr>
          <m:t>×</m:t>
        </m:r>
        <m:r>
          <m:t>3</m:t>
        </m:r>
      </m:oMath>
      <w:r>
        <w:t xml:space="preserve"> </w:t>
      </w:r>
      <w:r>
        <w:t xml:space="preserve">Gaussian filtering (</w:t>
      </w:r>
      <m:oMath>
        <m:r>
          <m:t>σ</m:t>
        </m:r>
        <m:r>
          <m:rPr>
            <m:sty m:val="p"/>
          </m:rPr>
          <m:t>=</m:t>
        </m:r>
        <m:r>
          <m:t>0.8</m:t>
        </m:r>
      </m:oMath>
      <w:r>
        <w:t xml:space="preserve">). Directional ridge information is enhanced using an eight-orientation Gabor filter bank, followed by maximum-response pooling across orientations. All pixel intensities are normalized to the</w:t>
      </w:r>
      <w:r>
        <w:t xml:space="preserve"> </w:t>
      </w:r>
      <m:oMath>
        <m:r>
          <m:rPr>
            <m:sty m:val="p"/>
          </m:rPr>
          <m:t>[</m:t>
        </m:r>
        <m:r>
          <m:t>0</m:t>
        </m:r>
        <m:r>
          <m:rPr>
            <m:sty m:val="p"/>
          </m:rPr>
          <m:t>,</m:t>
        </m:r>
        <m:r>
          <m:t>1</m:t>
        </m:r>
        <m:r>
          <m:rPr>
            <m:sty m:val="p"/>
          </m:rPr>
          <m:t>]</m:t>
        </m:r>
      </m:oMath>
      <w:r>
        <w:t xml:space="preserve"> </w:t>
      </w:r>
      <w:r>
        <w:t xml:space="preserve">range. Data augmentation includes rotation (</w:t>
      </w:r>
      <m:oMath>
        <m:r>
          <m:rPr>
            <m:sty m:val="p"/>
          </m:rPr>
          <m:t>±</m:t>
        </m:r>
        <m:sSup>
          <m:e>
            <m:r>
              <m:t>10</m:t>
            </m:r>
          </m:e>
          <m:sup>
            <m:r>
              <m:rPr>
                <m:sty m:val="p"/>
              </m:rPr>
              <m:t>∘</m:t>
            </m:r>
          </m:sup>
        </m:sSup>
      </m:oMath>
      <w:r>
        <w:t xml:space="preserve">), intensity scaling (</w:t>
      </w:r>
      <m:oMath>
        <m:r>
          <m:t>0.85</m:t>
        </m:r>
      </m:oMath>
      <w:r>
        <w:t xml:space="preserve">–</w:t>
      </w:r>
      <m:oMath>
        <m:r>
          <m:t>1.15</m:t>
        </m:r>
      </m:oMath>
      <w:r>
        <w:t xml:space="preserve">), and Gaussian sensor noise injection. Crucially, the preprocessing pipeline does</w:t>
      </w:r>
      <w:r>
        <w:t xml:space="preserve"> </w:t>
      </w:r>
      <w:r>
        <w:rPr>
          <w:b/>
          <w:bCs/>
        </w:rPr>
        <w:t xml:space="preserve">not</w:t>
      </w:r>
      <w:r>
        <w:t xml:space="preserve"> </w:t>
      </w:r>
      <w:r>
        <w:t xml:space="preserve">employ morphological foreground masking or singular-point alignment.</w:t>
      </w:r>
    </w:p>
    <w:bookmarkEnd w:id="20"/>
    <w:bookmarkStart w:id="21" w:name="handcrafted-texture-representation"/>
    <w:p>
      <w:pPr>
        <w:pStyle w:val="Heading3"/>
      </w:pPr>
      <w:r>
        <w:t xml:space="preserve">3.3 Handcrafted Texture Representation</w:t>
      </w:r>
    </w:p>
    <w:p>
      <w:pPr>
        <w:pStyle w:val="FirstParagraph"/>
      </w:pPr>
      <w:r>
        <w:t xml:space="preserve">To complement deep visual features, we extract a canonical 30-dimensional handcrafted descriptor focusing on biometric texture and ridge morphology. This descriptor consists of:</w:t>
      </w:r>
      <w:r>
        <w:t xml:space="preserve"> </w:t>
      </w:r>
      <w:r>
        <w:t xml:space="preserve">*</w:t>
      </w:r>
      <w:r>
        <w:t xml:space="preserve"> </w:t>
      </w:r>
      <w:r>
        <w:rPr>
          <w:b/>
          <w:bCs/>
        </w:rPr>
        <w:t xml:space="preserve">10 LBP features</w:t>
      </w:r>
      <w:r>
        <w:t xml:space="preserve">: Computed via a uniform Local Binary Pattern histogram.</w:t>
      </w:r>
      <w:r>
        <w:t xml:space="preserve"> </w:t>
      </w:r>
      <w:r>
        <w:t xml:space="preserve">*</w:t>
      </w:r>
      <w:r>
        <w:t xml:space="preserve"> </w:t>
      </w:r>
      <w:r>
        <w:rPr>
          <w:b/>
          <w:bCs/>
        </w:rPr>
        <w:t xml:space="preserve">12 GLCM features</w:t>
      </w:r>
      <w:r>
        <w:t xml:space="preserve">: Derived from the Gray-Level Co-occurrence Matrix computed at four orientations.</w:t>
      </w:r>
      <w:r>
        <w:t xml:space="preserve"> </w:t>
      </w:r>
      <w:r>
        <w:t xml:space="preserve">*</w:t>
      </w:r>
      <w:r>
        <w:t xml:space="preserve"> </w:t>
      </w:r>
      <w:r>
        <w:rPr>
          <w:b/>
          <w:bCs/>
        </w:rPr>
        <w:t xml:space="preserve">8 ridge morphology/spatial features</w:t>
      </w:r>
      <w:r>
        <w:t xml:space="preserve">: Including intensity statistics, Shannon entropy, Canny edge density, Otsu threshold ratios, orientation coherence, and Laplacian variance.</w:t>
      </w:r>
    </w:p>
    <w:bookmarkEnd w:id="21"/>
    <w:bookmarkStart w:id="22" w:name="leaksafe-cgn-architecture"/>
    <w:p>
      <w:pPr>
        <w:pStyle w:val="Heading3"/>
      </w:pPr>
      <w:r>
        <w:t xml:space="preserve">3.4 LeakSafe-CGN Architecture</w:t>
      </w:r>
    </w:p>
    <w:p>
      <w:pPr>
        <w:pStyle w:val="FirstParagraph"/>
      </w:pPr>
      <w:r>
        <w:t xml:space="preserve">LeakSafe-CGN implements a biologically decoupled hierarchical architecture featuring two primary branches:</w:t>
      </w:r>
    </w:p>
    <w:p>
      <w:pPr>
        <w:pStyle w:val="Compact"/>
        <w:numPr>
          <w:ilvl w:val="0"/>
          <w:numId w:val="1002"/>
        </w:numPr>
      </w:pPr>
      <w:r>
        <w:rPr>
          <w:b/>
          <w:bCs/>
        </w:rPr>
        <w:t xml:space="preserve">Visual Branch</w:t>
      </w:r>
      <w:r>
        <w:t xml:space="preserve">: An EfficientNetB0 backbone extracts deep spatial features, passed through a trainable Convolutional Block Attention Module (CBAM) to focus on task-relevant ridge features, followed by global average pooling to yield a 1,280-dimensional representation.</w:t>
      </w:r>
    </w:p>
    <w:p>
      <w:pPr>
        <w:pStyle w:val="Compact"/>
        <w:numPr>
          <w:ilvl w:val="0"/>
          <w:numId w:val="1002"/>
        </w:numPr>
      </w:pPr>
      <w:r>
        <w:rPr>
          <w:b/>
          <w:bCs/>
        </w:rPr>
        <w:t xml:space="preserve">Texture Branch</w:t>
      </w:r>
      <w:r>
        <w:t xml:space="preserve">: The 30-dimensional handcrafted texture descriptor is passed through a Dense layer (64 units, ReLU activation) and normalized via LayerNorm.</w:t>
      </w:r>
    </w:p>
    <w:p>
      <w:pPr>
        <w:pStyle w:val="FirstParagraph"/>
      </w:pPr>
      <w:r>
        <w:t xml:space="preserve">The representations from both branches are fused into a</w:t>
      </w:r>
      <w:r>
        <w:t xml:space="preserve"> </w:t>
      </w:r>
      <m:oMath>
        <m:r>
          <m:t>1</m:t>
        </m:r>
        <m:r>
          <m:rPr>
            <m:sty m:val="p"/>
          </m:rPr>
          <m:t>,</m:t>
        </m:r>
        <m:r>
          <m:t>280</m:t>
        </m:r>
        <m:r>
          <m:rPr>
            <m:sty m:val="p"/>
          </m:rPr>
          <m:t>+</m:t>
        </m:r>
        <m:r>
          <m:t>64</m:t>
        </m:r>
        <m:r>
          <m:rPr>
            <m:sty m:val="p"/>
          </m:rPr>
          <m:t>=</m:t>
        </m:r>
        <m:r>
          <m:t>1</m:t>
        </m:r>
        <m:r>
          <m:rPr>
            <m:sty m:val="p"/>
          </m:rPr>
          <m:t>,</m:t>
        </m:r>
        <m:r>
          <m:t>344</m:t>
        </m:r>
      </m:oMath>
      <w:r>
        <w:t xml:space="preserve">-dimensional vector using an adaptive learned gate. This fused representation is projected through a shared Dense latent layer (256 units, ReLU activation) and regularized with 35% Dropout (</w:t>
      </w:r>
      <w:r>
        <w:rPr>
          <w:rStyle w:val="VerbatimChar"/>
        </w:rPr>
        <w:t xml:space="preserve">Dropout(0.35)</w:t>
      </w:r>
      <w:r>
        <w:t xml:space="preserve">). The network culminates in three independent task heads:</w:t>
      </w:r>
      <w:r>
        <w:t xml:space="preserve"> </w:t>
      </w:r>
      <w:r>
        <w:t xml:space="preserve">1.</w:t>
      </w:r>
      <w:r>
        <w:t xml:space="preserve"> </w:t>
      </w:r>
      <w:r>
        <w:rPr>
          <w:b/>
          <w:bCs/>
        </w:rPr>
        <w:t xml:space="preserve">ABO</w:t>
      </w:r>
      <w:r>
        <w:t xml:space="preserve">: 4-class softmax output.</w:t>
      </w:r>
      <w:r>
        <w:t xml:space="preserve"> </w:t>
      </w:r>
      <w:r>
        <w:t xml:space="preserve">2.</w:t>
      </w:r>
      <w:r>
        <w:t xml:space="preserve"> </w:t>
      </w:r>
      <w:r>
        <w:rPr>
          <w:b/>
          <w:bCs/>
        </w:rPr>
        <w:t xml:space="preserve">Rh</w:t>
      </w:r>
      <w:r>
        <w:t xml:space="preserve">: Binary sigmoid output.</w:t>
      </w:r>
      <w:r>
        <w:t xml:space="preserve"> </w:t>
      </w:r>
      <w:r>
        <w:t xml:space="preserve">3.</w:t>
      </w:r>
      <w:r>
        <w:t xml:space="preserve"> </w:t>
      </w:r>
      <w:r>
        <w:rPr>
          <w:b/>
          <w:bCs/>
        </w:rPr>
        <w:t xml:space="preserve">Joint Phenotype</w:t>
      </w:r>
      <w:r>
        <w:t xml:space="preserve">: 8-class softmax output.</w:t>
      </w:r>
    </w:p>
    <w:bookmarkEnd w:id="22"/>
    <w:bookmarkStart w:id="23" w:name="training-procedure"/>
    <w:p>
      <w:pPr>
        <w:pStyle w:val="Heading3"/>
      </w:pPr>
      <w:r>
        <w:t xml:space="preserve">3.5 Training Procedure</w:t>
      </w:r>
    </w:p>
    <w:p>
      <w:pPr>
        <w:pStyle w:val="FirstParagraph"/>
      </w:pPr>
      <w:r>
        <w:t xml:space="preserve">The network is optimized using the Adam optimizer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r>
        <w:t xml:space="preserve"> </w:t>
      </w:r>
      <m:oMath>
        <m:r>
          <m:t>ϵ</m:t>
        </m:r>
        <m:r>
          <m:rPr>
            <m:sty m:val="p"/>
          </m:rPr>
          <m:t>=</m:t>
        </m:r>
        <m:sSup>
          <m:e>
            <m:r>
              <m:t>10</m:t>
            </m:r>
          </m:e>
          <m:sup>
            <m:r>
              <m:rPr>
                <m:sty m:val="p"/>
              </m:rPr>
              <m:t>−</m:t>
            </m:r>
            <m:r>
              <m:t>7</m:t>
            </m:r>
          </m:sup>
        </m:sSup>
      </m:oMath>
      <w:r>
        <w:t xml:space="preserve">). We employ a learning rate schedule starting with a warm-up learning rate of</w:t>
      </w:r>
      <w:r>
        <w:t xml:space="preserve"> </w:t>
      </w:r>
      <m:oMath>
        <m:sSup>
          <m:e>
            <m:r>
              <m:t>10</m:t>
            </m:r>
          </m:e>
          <m:sup>
            <m:r>
              <m:rPr>
                <m:sty m:val="p"/>
              </m:rPr>
              <m:t>−</m:t>
            </m:r>
            <m:r>
              <m:t>4</m:t>
            </m:r>
          </m:sup>
        </m:sSup>
      </m:oMath>
      <w:r>
        <w:t xml:space="preserve">, later reducing to a fine-tuning rate of</w:t>
      </w:r>
      <w:r>
        <w:t xml:space="preserve"> </w:t>
      </w:r>
      <m:oMath>
        <m:sSup>
          <m:e>
            <m:r>
              <m:t>10</m:t>
            </m:r>
          </m:e>
          <m:sup>
            <m:r>
              <m:rPr>
                <m:sty m:val="p"/>
              </m:rPr>
              <m:t>−</m:t>
            </m:r>
            <m:r>
              <m:t>5</m:t>
            </m:r>
          </m:sup>
        </m:sSup>
      </m:oMath>
      <w:r>
        <w:t xml:space="preserve"> </w:t>
      </w:r>
      <w:r>
        <w:t xml:space="preserve">utilizing a</w:t>
      </w:r>
      <w:r>
        <w:t xml:space="preserve"> </w:t>
      </w:r>
      <w:r>
        <w:rPr>
          <w:rStyle w:val="VerbatimChar"/>
        </w:rPr>
        <w:t xml:space="preserve">ReduceLROnPlateau</w:t>
      </w:r>
      <w:r>
        <w:t xml:space="preserve"> </w:t>
      </w:r>
      <w:r>
        <w:t xml:space="preserve">callback. Models are trained with a batch size of 32 for 40–50 epochs.</w:t>
      </w:r>
      <w:r>
        <w:t xml:space="preserve"> </w:t>
      </w:r>
      <w:r>
        <w:rPr>
          <w:rStyle w:val="VerbatimChar"/>
        </w:rPr>
        <w:t xml:space="preserve">EarlyStopping</w:t>
      </w:r>
      <w:r>
        <w:t xml:space="preserve"> </w:t>
      </w:r>
      <w:r>
        <w:t xml:space="preserve">is configured to monitor validation loss, restoring the best weights upon convergence. The joint multi-task loss function is a weighted sum of the individual head losses: ABO Cross-Entropy (</w:t>
      </w:r>
      <m:oMath>
        <m:r>
          <m:t>0.50</m:t>
        </m:r>
      </m:oMath>
      <w:r>
        <w:t xml:space="preserve">), Rh Binary Cross-Entropy (</w:t>
      </w:r>
      <m:oMath>
        <m:r>
          <m:t>0.30</m:t>
        </m:r>
      </m:oMath>
      <w:r>
        <w:t xml:space="preserve">), and Joint 8-class Cross-Entropy (</w:t>
      </w:r>
      <m:oMath>
        <m:r>
          <m:t>0.20</m:t>
        </m:r>
      </m:oMath>
      <w:r>
        <w:t xml:space="preserve">).</w:t>
      </w:r>
    </w:p>
    <w:bookmarkEnd w:id="23"/>
    <w:bookmarkStart w:id="24" w:name="leakage-mitigation-protocol"/>
    <w:p>
      <w:pPr>
        <w:pStyle w:val="Heading3"/>
      </w:pPr>
      <w:r>
        <w:t xml:space="preserve">3.6 Leakage-Mitigation Protocol</w:t>
      </w:r>
    </w:p>
    <w:p>
      <w:pPr>
        <w:pStyle w:val="FirstParagraph"/>
      </w:pPr>
      <w:r>
        <w:t xml:space="preserve">Given that the source dataset lacks verified donor identifiers, random image-level splitting poses a significant risk of identity leakage, where near-duplicate impressions from the same individual contaminate both training and testing partitions. To counteract this,</w:t>
      </w:r>
      <w:r>
        <w:t xml:space="preserve"> </w:t>
      </w:r>
      <w:r>
        <w:rPr>
          <w:b/>
          <w:bCs/>
        </w:rPr>
        <w:t xml:space="preserve">pHash-based pseudo-subject/near-duplicate grouping was used as a leakage-mitigation strategy.</w:t>
      </w:r>
      <w:r>
        <w:t xml:space="preserve"> </w:t>
      </w:r>
      <w:r>
        <w:t xml:space="preserve">Images with high visual similarity (64-bit perceptual hashing) were clustered into the same fold. We note that while this robustly separates visually analogous impressions, we do not claim it establishes true donor-level independence, because verified donor identities were not available.</w:t>
      </w:r>
    </w:p>
    <w:bookmarkEnd w:id="24"/>
    <w:bookmarkStart w:id="25" w:name="benchmarking-protocol"/>
    <w:p>
      <w:pPr>
        <w:pStyle w:val="Heading3"/>
      </w:pPr>
      <w:r>
        <w:t xml:space="preserve">3.7 Benchmarking Protocol</w:t>
      </w:r>
    </w:p>
    <w:p>
      <w:pPr>
        <w:pStyle w:val="FirstParagraph"/>
      </w:pPr>
      <w:r>
        <w:t xml:space="preserve">The full 5,837-image Dataset A was evaluated using an 80/20 grouped train/test split protocol (</w:t>
      </w:r>
      <w:r>
        <w:rPr>
          <w:rStyle w:val="VerbatimChar"/>
        </w:rPr>
        <w:t xml:space="preserve">GroupShuffleSplit</w:t>
      </w:r>
      <w:r>
        <w:t xml:space="preserve">), employing the pHash near-duplicate separation to govern the splits (yielding approximately 4,669 training and 1,168 test images). Performance was evaluated against multiple baselines, including classical ML models and deep transfer-learning architectures. Primary evaluation metrics were Macro-F1 score and accuracy, alongside additional measurements for uncertainty calibration and computational efficiency where verified.</w:t>
      </w:r>
    </w:p>
    <w:bookmarkEnd w:id="25"/>
    <w:bookmarkStart w:id="26" w:name="ablation-and-robustness-evaluation"/>
    <w:p>
      <w:pPr>
        <w:pStyle w:val="Heading3"/>
      </w:pPr>
      <w:r>
        <w:t xml:space="preserve">3.8 Ablation and Robustness Evaluation</w:t>
      </w:r>
    </w:p>
    <w:p>
      <w:pPr>
        <w:pStyle w:val="FirstParagraph"/>
      </w:pPr>
      <w:r>
        <w:rPr>
          <w:b/>
          <w:bCs/>
        </w:rPr>
        <w:t xml:space="preserve">Ablation Study</w:t>
      </w:r>
      <w:r>
        <w:t xml:space="preserve"> </w:t>
      </w:r>
      <w:r>
        <w:t xml:space="preserve">To quantify the individual contribution of each architectural component within LeakSafe-CGN, we performed a systematic ablation study. Modifications included removing the orientation field, omitting the ROAM channel gate, swapping adaptive gating for static average or concatenation fusion, employing single-branch (texture or ridge) networks, and removing backbone fine-tuning. We evaluated the test accuracy delta against the full model (</w:t>
      </w:r>
      <m:oMath>
        <m:r>
          <m:t>91.10</m:t>
        </m:r>
        <m:r>
          <m:rPr>
            <m:sty m:val="p"/>
          </m:rPr>
          <m:t>%</m:t>
        </m:r>
      </m:oMath>
      <w:r>
        <w:t xml:space="preserve"> </w:t>
      </w:r>
      <w:r>
        <w:t xml:space="preserve">accuracy) to confirm each component’s necessity. For instance, the model without fine-tuning dropped to</w:t>
      </w:r>
      <w:r>
        <w:t xml:space="preserve"> </w:t>
      </w:r>
      <m:oMath>
        <m:r>
          <m:t>86.64</m:t>
        </m:r>
        <m:r>
          <m:rPr>
            <m:sty m:val="p"/>
          </m:rPr>
          <m:t>%</m:t>
        </m:r>
      </m:oMath>
      <w:r>
        <w:t xml:space="preserve">, while the single-branch ridge (visual) model yielded</w:t>
      </w:r>
      <w:r>
        <w:t xml:space="preserve"> </w:t>
      </w:r>
      <m:oMath>
        <m:r>
          <m:t>79.79</m:t>
        </m:r>
        <m:r>
          <m:rPr>
            <m:sty m:val="p"/>
          </m:rPr>
          <m:t>%</m:t>
        </m:r>
      </m:oMath>
      <w:r>
        <w:t xml:space="preserve">.</w:t>
      </w:r>
    </w:p>
    <w:p>
      <w:pPr>
        <w:pStyle w:val="BodyText"/>
      </w:pPr>
      <w:r>
        <w:rPr>
          <w:b/>
          <w:bCs/>
        </w:rPr>
        <w:t xml:space="preserve">Robustness Evaluation</w:t>
      </w:r>
      <w:r>
        <w:t xml:space="preserve"> </w:t>
      </w:r>
      <w:r>
        <w:t xml:space="preserve">We subjected the model to synthetic physical distortions simulating real-world sensor degradation at varying severities (0, 1, 2). The perturbations and resulting accuracies were:</w:t>
      </w:r>
      <w:r>
        <w:t xml:space="preserve"> </w:t>
      </w:r>
      <w:r>
        <w:t xml:space="preserve">*</w:t>
      </w:r>
      <w:r>
        <w:t xml:space="preserve"> </w:t>
      </w:r>
      <w:r>
        <w:rPr>
          <w:b/>
          <w:bCs/>
        </w:rPr>
        <w:t xml:space="preserve">Gaussian Blur</w:t>
      </w:r>
      <w:r>
        <w:t xml:space="preserve">: Degraded from</w:t>
      </w:r>
      <w:r>
        <w:t xml:space="preserve"> </w:t>
      </w:r>
      <m:oMath>
        <m:r>
          <m:t>89.84</m:t>
        </m:r>
        <m:r>
          <m:rPr>
            <m:sty m:val="p"/>
          </m:rPr>
          <m:t>%</m:t>
        </m:r>
      </m:oMath>
      <w:r>
        <w:t xml:space="preserve"> </w:t>
      </w:r>
      <w:r>
        <w:t xml:space="preserve">(Severity 0) down to</w:t>
      </w:r>
      <w:r>
        <w:t xml:space="preserve"> </w:t>
      </w:r>
      <m:oMath>
        <m:r>
          <m:t>83.90</m:t>
        </m:r>
        <m:r>
          <m:rPr>
            <m:sty m:val="p"/>
          </m:rPr>
          <m:t>%</m:t>
        </m:r>
      </m:oMath>
      <w:r>
        <w:t xml:space="preserve"> </w:t>
      </w:r>
      <w:r>
        <w:t xml:space="preserve">(Severity 1) and</w:t>
      </w:r>
      <w:r>
        <w:t xml:space="preserve"> </w:t>
      </w:r>
      <m:oMath>
        <m:r>
          <m:t>66.21</m:t>
        </m:r>
        <m:r>
          <m:rPr>
            <m:sty m:val="p"/>
          </m:rPr>
          <m:t>%</m:t>
        </m:r>
      </m:oMath>
      <w:r>
        <w:t xml:space="preserve"> </w:t>
      </w:r>
      <w:r>
        <w:t xml:space="preserve">(Severity 2).</w:t>
      </w:r>
      <w:r>
        <w:t xml:space="preserve"> </w:t>
      </w:r>
      <w:r>
        <w:t xml:space="preserve">*</w:t>
      </w:r>
      <w:r>
        <w:t xml:space="preserve"> </w:t>
      </w:r>
      <w:r>
        <w:rPr>
          <w:b/>
          <w:bCs/>
        </w:rPr>
        <w:t xml:space="preserve">Additive Noise</w:t>
      </w:r>
      <w:r>
        <w:t xml:space="preserve">: Remained highly robust, achieving</w:t>
      </w:r>
      <w:r>
        <w:t xml:space="preserve"> </w:t>
      </w:r>
      <m:oMath>
        <m:r>
          <m:t>91.55</m:t>
        </m:r>
        <m:r>
          <m:rPr>
            <m:sty m:val="p"/>
          </m:rPr>
          <m:t>%</m:t>
        </m:r>
      </m:oMath>
      <w:r>
        <w:t xml:space="preserve">,</w:t>
      </w:r>
      <w:r>
        <w:t xml:space="preserve"> </w:t>
      </w:r>
      <m:oMath>
        <m:r>
          <m:t>90.75</m:t>
        </m:r>
        <m:r>
          <m:rPr>
            <m:sty m:val="p"/>
          </m:rPr>
          <m:t>%</m:t>
        </m:r>
      </m:oMath>
      <w:r>
        <w:t xml:space="preserve">, and</w:t>
      </w:r>
      <w:r>
        <w:t xml:space="preserve"> </w:t>
      </w:r>
      <m:oMath>
        <m:r>
          <m:t>89.50</m:t>
        </m:r>
        <m:r>
          <m:rPr>
            <m:sty m:val="p"/>
          </m:rPr>
          <m:t>%</m:t>
        </m:r>
      </m:oMath>
      <w:r>
        <w:t xml:space="preserve"> </w:t>
      </w:r>
      <w:r>
        <w:t xml:space="preserve">across severities.</w:t>
      </w:r>
      <w:r>
        <w:t xml:space="preserve"> </w:t>
      </w:r>
      <w:r>
        <w:t xml:space="preserve">*</w:t>
      </w:r>
      <w:r>
        <w:t xml:space="preserve"> </w:t>
      </w:r>
      <w:r>
        <w:rPr>
          <w:b/>
          <w:bCs/>
        </w:rPr>
        <w:t xml:space="preserve">Occlusion/Crop</w:t>
      </w:r>
      <w:r>
        <w:t xml:space="preserve">: Degraded from</w:t>
      </w:r>
      <w:r>
        <w:t xml:space="preserve"> </w:t>
      </w:r>
      <m:oMath>
        <m:r>
          <m:t>87.44</m:t>
        </m:r>
        <m:r>
          <m:rPr>
            <m:sty m:val="p"/>
          </m:rPr>
          <m:t>%</m:t>
        </m:r>
      </m:oMath>
      <w:r>
        <w:t xml:space="preserve"> </w:t>
      </w:r>
      <w:r>
        <w:t xml:space="preserve">to</w:t>
      </w:r>
      <w:r>
        <w:t xml:space="preserve"> </w:t>
      </w:r>
      <m:oMath>
        <m:r>
          <m:t>85.16</m:t>
        </m:r>
        <m:r>
          <m:rPr>
            <m:sty m:val="p"/>
          </m:rPr>
          <m:t>%</m:t>
        </m:r>
      </m:oMath>
      <w:r>
        <w:t xml:space="preserve"> </w:t>
      </w:r>
      <w:r>
        <w:t xml:space="preserve">and</w:t>
      </w:r>
      <w:r>
        <w:t xml:space="preserve"> </w:t>
      </w:r>
      <m:oMath>
        <m:r>
          <m:t>75.34</m:t>
        </m:r>
        <m:r>
          <m:rPr>
            <m:sty m:val="p"/>
          </m:rPr>
          <m:t>%</m:t>
        </m:r>
      </m:oMath>
      <w:r>
        <w:t xml:space="preserve">.</w:t>
      </w:r>
      <w:r>
        <w:t xml:space="preserve"> </w:t>
      </w:r>
      <w:r>
        <w:t xml:space="preserve">*</w:t>
      </w:r>
      <w:r>
        <w:t xml:space="preserve"> </w:t>
      </w:r>
      <w:r>
        <w:rPr>
          <w:b/>
          <w:bCs/>
        </w:rPr>
        <w:t xml:space="preserve">Angular Rotation</w:t>
      </w:r>
      <w:r>
        <w:t xml:space="preserve">: Degraded slightly from</w:t>
      </w:r>
      <w:r>
        <w:t xml:space="preserve"> </w:t>
      </w:r>
      <m:oMath>
        <m:r>
          <m:t>91.10</m:t>
        </m:r>
        <m:r>
          <m:rPr>
            <m:sty m:val="p"/>
          </m:rPr>
          <m:t>%</m:t>
        </m:r>
      </m:oMath>
      <w:r>
        <w:t xml:space="preserve"> </w:t>
      </w:r>
      <w:r>
        <w:t xml:space="preserve">to</w:t>
      </w:r>
      <w:r>
        <w:t xml:space="preserve"> </w:t>
      </w:r>
      <m:oMath>
        <m:r>
          <m:t>88.58</m:t>
        </m:r>
        <m:r>
          <m:rPr>
            <m:sty m:val="p"/>
          </m:rPr>
          <m:t>%</m:t>
        </m:r>
      </m:oMath>
      <w:r>
        <w:t xml:space="preserve"> </w:t>
      </w:r>
      <w:r>
        <w:t xml:space="preserve">and</w:t>
      </w:r>
      <w:r>
        <w:t xml:space="preserve"> </w:t>
      </w:r>
      <m:oMath>
        <m:r>
          <m:t>82.53</m:t>
        </m:r>
        <m:r>
          <m:rPr>
            <m:sty m:val="p"/>
          </m:rPr>
          <m:t>%</m:t>
        </m:r>
      </m:oMath>
      <w:r>
        <w:t xml:space="preserve">.</w:t>
      </w:r>
    </w:p>
    <w:bookmarkEnd w:id="26"/>
    <w:bookmarkStart w:id="27" w:name="calibration-and-uncertainty"/>
    <w:p>
      <w:pPr>
        <w:pStyle w:val="Heading3"/>
      </w:pPr>
      <w:r>
        <w:t xml:space="preserve">3.9 Calibration and Uncertainty</w:t>
      </w:r>
    </w:p>
    <w:p>
      <w:pPr>
        <w:pStyle w:val="FirstParagraph"/>
      </w:pPr>
      <w:r>
        <w:t xml:space="preserve">For safety-critical biometric screening, we implemented rigorous uncertainty quantification. We applied temperature scaling (</w:t>
      </w:r>
      <m:oMath>
        <m:r>
          <m:t>T</m:t>
        </m:r>
        <m:r>
          <m:rPr>
            <m:sty m:val="p"/>
          </m:rPr>
          <m:t>=</m:t>
        </m:r>
        <m:r>
          <m:t>1.365</m:t>
        </m:r>
      </m:oMath>
      <w:r>
        <w:t xml:space="preserve">) to the network logits, which notably reduced the Expected Calibration Error (ECE) before and after calibration. Furthermore, we utilized split conformal prediction to generate prediction sets with a target finite-sample marginal coverage of 90%. An abstention policy (</w:t>
      </w:r>
      <w:r>
        <w:rPr>
          <w:rStyle w:val="VerbatimChar"/>
        </w:rPr>
        <w:t xml:space="preserve">PREDICTION_WITHHELD</w:t>
      </w:r>
      <w:r>
        <w:t xml:space="preserve">) was established to automatically withhold predictions when the uncertainty criterion exceeded acceptable clinical thresholds.</w:t>
      </w:r>
    </w:p>
    <w:bookmarkEnd w:id="27"/>
    <w:bookmarkStart w:id="28" w:name="explainability-and-attribution"/>
    <w:p>
      <w:pPr>
        <w:pStyle w:val="Heading3"/>
      </w:pPr>
      <w:r>
        <w:t xml:space="preserve">3.10 Explainability and Attribution</w:t>
      </w:r>
    </w:p>
    <w:p>
      <w:pPr>
        <w:pStyle w:val="FirstParagraph"/>
      </w:pPr>
      <w:r>
        <w:t xml:space="preserve">Three distinct mechanisms were implemented to ensure the model’s visual and spatial reasoning were interpretable and causally linked to biological features:</w:t>
      </w:r>
      <w:r>
        <w:t xml:space="preserve"> </w:t>
      </w:r>
      <w:r>
        <w:t xml:space="preserve">*</w:t>
      </w:r>
      <w:r>
        <w:t xml:space="preserve"> </w:t>
      </w:r>
      <w:r>
        <w:rPr>
          <w:b/>
          <w:bCs/>
        </w:rPr>
        <w:t xml:space="preserve">Grad-CAM++</w:t>
      </w:r>
      <w:r>
        <w:t xml:space="preserve">: Utilized for deep visual attribution to generate high-resolution, class-discriminative saliency maps.</w:t>
      </w:r>
      <w:r>
        <w:t xml:space="preserve"> </w:t>
      </w:r>
      <w:r>
        <w:t xml:space="preserve">*</w:t>
      </w:r>
      <w:r>
        <w:t xml:space="preserve"> </w:t>
      </w:r>
      <w:r>
        <w:rPr>
          <w:b/>
          <w:bCs/>
        </w:rPr>
        <w:t xml:space="preserve">Orientation-Attention Alignment Score (OAAS)</w:t>
      </w:r>
      <w:r>
        <w:t xml:space="preserve">: Computed a comparison between the deep attention gradients and underlying ridge-orientation information, evaluated against a permutation-based null evaluation to ensure statistical significance.</w:t>
      </w:r>
      <w:r>
        <w:t xml:space="preserve"> </w:t>
      </w:r>
      <w:r>
        <w:t xml:space="preserve">*</w:t>
      </w:r>
      <w:r>
        <w:t xml:space="preserve"> </w:t>
      </w:r>
      <w:r>
        <w:rPr>
          <w:b/>
          <w:bCs/>
        </w:rPr>
        <w:t xml:space="preserve">Minutiae-Causal Attribution (MCA)</w:t>
      </w:r>
      <w:r>
        <w:t xml:space="preserve">: Conducted through Crossing Number skeletonization and targeted minutiae-region occlusion to measure the corresponding drop in prediction confidence.</w:t>
      </w:r>
      <w:r>
        <w:t xml:space="preserve"> </w:t>
      </w:r>
      <w:r>
        <w:t xml:space="preserve">These mechanisms serve strictly as interpretability/attribution analyses, not as proof that a particular fingerprint structure biologically determines blood group.</w:t>
      </w:r>
    </w:p>
    <w:bookmarkEnd w:id="28"/>
    <w:bookmarkStart w:id="29" w:name="statistical-analysis"/>
    <w:p>
      <w:pPr>
        <w:pStyle w:val="Heading3"/>
      </w:pPr>
      <w:r>
        <w:t xml:space="preserve">3.11 Statistical Analysis</w:t>
      </w:r>
    </w:p>
    <w:p>
      <w:pPr>
        <w:pStyle w:val="FirstParagraph"/>
      </w:pPr>
      <w:r>
        <w:t xml:space="preserve">All experimental findings were validated using appropriate statistical procedures. This includes test-split evaluation statistics, ablation comparisons, and ANOVA feature analysis with mutual-information metrics to evaluate the relationship between extracted features (such as texture/morphology) and the ABO/Rh targets. Additionally, we reported calibration metrics and robustness evaluation statistics.</w:t>
      </w:r>
    </w:p>
    <w:bookmarkEnd w:id="29"/>
    <w:bookmarkStart w:id="30" w:name="reproducibility"/>
    <w:p>
      <w:pPr>
        <w:pStyle w:val="Heading3"/>
      </w:pPr>
      <w:r>
        <w:t xml:space="preserve">3.12 Reproducibility</w:t>
      </w:r>
    </w:p>
    <w:p>
      <w:pPr>
        <w:pStyle w:val="FirstParagraph"/>
      </w:pPr>
      <w:r>
        <w:t xml:space="preserve">The experimental environment is strictly version-controlled to ensure full reproducibility. The framework was developed using Python 3.11, TensorFlow 2.18+, OpenCV 4.10, scikit-image 0.24, and scikit-learn 1.5. Random seeds were universally fixed to 42 for stochastic operations. Furthermore, continuous integration testing was conducted using synthetic images to verify deterministic execution paths across all components.</w:t>
      </w:r>
    </w:p>
    <w:p>
      <w:r>
        <w:pict>
          <v:rect style="width:0;height:1.5pt" o:hralign="center" o:hrstd="t" o:hr="t"/>
        </w:pict>
      </w:r>
    </w:p>
    <w:bookmarkEnd w:id="30"/>
    <w:bookmarkEnd w:id="31"/>
    <w:bookmarkStart w:id="38" w:name="results"/>
    <w:p>
      <w:pPr>
        <w:pStyle w:val="Heading2"/>
      </w:pPr>
      <w:r>
        <w:t xml:space="preserve">4. Results</w:t>
      </w:r>
    </w:p>
    <w:bookmarkStart w:id="32" w:name="benchmark-performance"/>
    <w:p>
      <w:pPr>
        <w:pStyle w:val="Heading3"/>
      </w:pPr>
      <w:r>
        <w:t xml:space="preserve">4.1 Benchmark Performance</w:t>
      </w:r>
    </w:p>
    <w:p>
      <w:pPr>
        <w:pStyle w:val="FirstParagraph"/>
      </w:pPr>
      <w:r>
        <w:t xml:space="preserve">The primary evaluation of the proposed framework was conducted using a 3-fold stratified cross-validation benchmark governed by the pHash grouping protocol. The overall classification performance demonstrated that LeakSafe-CGN achieved the highest measured accuracy across the evaluated model configurations. Specifically, LeakSafe-CGN achieved an accuracy of</w:t>
      </w:r>
      <w:r>
        <w:t xml:space="preserve"> </w:t>
      </w:r>
      <m:oMath>
        <m:r>
          <m:t>91.10</m:t>
        </m:r>
        <m:r>
          <m:rPr>
            <m:sty m:val="p"/>
          </m:rPr>
          <m:t>%</m:t>
        </m:r>
        <m:r>
          <m:rPr>
            <m:sty m:val="p"/>
          </m:rPr>
          <m:t>±</m:t>
        </m:r>
        <m:r>
          <m:t>0.42</m:t>
        </m:r>
        <m:r>
          <m:rPr>
            <m:sty m:val="p"/>
          </m:rPr>
          <m:t>%</m:t>
        </m:r>
      </m:oMath>
      <w:r>
        <w:t xml:space="preserve"> </w:t>
      </w:r>
      <w:r>
        <w:t xml:space="preserve">with a Macro-F1 score of</w:t>
      </w:r>
      <w:r>
        <w:t xml:space="preserve"> </w:t>
      </w:r>
      <m:oMath>
        <m:r>
          <m:t>0.909</m:t>
        </m:r>
      </m:oMath>
      <w:r>
        <w:t xml:space="preserve">. Among the evaluated transfer-learning backbones, MobileNetV2 achieved closely comparable performance at</w:t>
      </w:r>
      <w:r>
        <w:t xml:space="preserve"> </w:t>
      </w:r>
      <m:oMath>
        <m:r>
          <m:t>91.07</m:t>
        </m:r>
        <m:r>
          <m:rPr>
            <m:sty m:val="p"/>
          </m:rPr>
          <m:t>%</m:t>
        </m:r>
        <m:r>
          <m:rPr>
            <m:sty m:val="p"/>
          </m:rPr>
          <m:t>±</m:t>
        </m:r>
        <m:r>
          <m:t>0.31</m:t>
        </m:r>
        <m:r>
          <m:rPr>
            <m:sty m:val="p"/>
          </m:rPr>
          <m:t>%</m:t>
        </m:r>
      </m:oMath>
      <w:r>
        <w:t xml:space="preserve"> </w:t>
      </w:r>
      <w:r>
        <w:t xml:space="preserve">(Macro-F1</w:t>
      </w:r>
      <w:r>
        <w:t xml:space="preserve"> </w:t>
      </w:r>
      <m:oMath>
        <m:r>
          <m:rPr>
            <m:sty m:val="p"/>
          </m:rPr>
          <m:t>=</m:t>
        </m:r>
        <m:r>
          <m:t>0.908</m:t>
        </m:r>
      </m:oMath>
      <w:r>
        <w:t xml:space="preserve">). Although LeakSafe-CGN numerically outperformed the standard architectures, the margin over MobileNetV2 was only</w:t>
      </w:r>
      <w:r>
        <w:t xml:space="preserve"> </w:t>
      </w:r>
      <m:oMath>
        <m:r>
          <m:t>0.03</m:t>
        </m:r>
      </m:oMath>
      <w:r>
        <w:t xml:space="preserve"> </w:t>
      </w:r>
      <w:r>
        <w:t xml:space="preserve">percentage points, indicating parity in raw discriminative accuracy rather than a substantial predictive advantage.</w:t>
      </w:r>
    </w:p>
    <w:p>
      <w:pPr>
        <w:pStyle w:val="BodyText"/>
      </w:pPr>
      <w:r>
        <w:t xml:space="preserve">Other competitive architectures included our preceding RidgeVisionNet baseline (</w:t>
      </w:r>
      <m:oMath>
        <m:r>
          <m:t>90.0</m:t>
        </m:r>
        <m:r>
          <m:rPr>
            <m:sty m:val="p"/>
          </m:rPr>
          <m:t>%</m:t>
        </m:r>
        <m:r>
          <m:rPr>
            <m:sty m:val="p"/>
          </m:rPr>
          <m:t>±</m:t>
        </m:r>
        <m:r>
          <m:t>0.64</m:t>
        </m:r>
        <m:r>
          <m:rPr>
            <m:sty m:val="p"/>
          </m:rPr>
          <m:t>%</m:t>
        </m:r>
      </m:oMath>
      <w:r>
        <w:t xml:space="preserve">, Macro-F1</w:t>
      </w:r>
      <w:r>
        <w:t xml:space="preserve"> </w:t>
      </w:r>
      <m:oMath>
        <m:r>
          <m:rPr>
            <m:sty m:val="p"/>
          </m:rPr>
          <m:t>=</m:t>
        </m:r>
        <m:r>
          <m:t>0.897</m:t>
        </m:r>
      </m:oMath>
      <w:r>
        <w:t xml:space="preserve">), ConvNeXt-Tiny (</w:t>
      </w:r>
      <m:oMath>
        <m:r>
          <m:t>89.9</m:t>
        </m:r>
        <m:r>
          <m:rPr>
            <m:sty m:val="p"/>
          </m:rPr>
          <m:t>%</m:t>
        </m:r>
        <m:r>
          <m:rPr>
            <m:sty m:val="p"/>
          </m:rPr>
          <m:t>±</m:t>
        </m:r>
        <m:r>
          <m:t>0.49</m:t>
        </m:r>
        <m:r>
          <m:rPr>
            <m:sty m:val="p"/>
          </m:rPr>
          <m:t>%</m:t>
        </m:r>
      </m:oMath>
      <w:r>
        <w:t xml:space="preserve">, Macro-F1</w:t>
      </w:r>
      <w:r>
        <w:t xml:space="preserve"> </w:t>
      </w:r>
      <m:oMath>
        <m:r>
          <m:rPr>
            <m:sty m:val="p"/>
          </m:rPr>
          <m:t>=</m:t>
        </m:r>
        <m:r>
          <m:t>0.895</m:t>
        </m:r>
      </m:oMath>
      <w:r>
        <w:t xml:space="preserve">), and EfficientNetB0 (</w:t>
      </w:r>
      <m:oMath>
        <m:r>
          <m:t>89.8</m:t>
        </m:r>
        <m:r>
          <m:rPr>
            <m:sty m:val="p"/>
          </m:rPr>
          <m:t>%</m:t>
        </m:r>
        <m:r>
          <m:rPr>
            <m:sty m:val="p"/>
          </m:rPr>
          <m:t>±</m:t>
        </m:r>
        <m:r>
          <m:t>0.88</m:t>
        </m:r>
        <m:r>
          <m:rPr>
            <m:sty m:val="p"/>
          </m:rPr>
          <m:t>%</m:t>
        </m:r>
      </m:oMath>
      <w:r>
        <w:t xml:space="preserve">, Macro-F1</w:t>
      </w:r>
      <w:r>
        <w:t xml:space="preserve"> </w:t>
      </w:r>
      <m:oMath>
        <m:r>
          <m:rPr>
            <m:sty m:val="p"/>
          </m:rPr>
          <m:t>=</m:t>
        </m:r>
        <m:r>
          <m:t>0.894</m:t>
        </m:r>
      </m:oMath>
      <w:r>
        <w:t xml:space="preserve">). Classical models relying purely on extracted texture features performed substantially lower, confirming the necessity of deep spatial feature extraction for this task.</w:t>
      </w:r>
    </w:p>
    <w:bookmarkEnd w:id="32"/>
    <w:bookmarkStart w:id="33" w:name="architectural-ablation"/>
    <w:p>
      <w:pPr>
        <w:pStyle w:val="Heading3"/>
      </w:pPr>
      <w:r>
        <w:t xml:space="preserve">4.2 Architectural Ablation</w:t>
      </w:r>
    </w:p>
    <w:p>
      <w:pPr>
        <w:pStyle w:val="FirstParagraph"/>
      </w:pPr>
      <w:r>
        <w:t xml:space="preserve">A systematic ablation analysis isolated the contributions of individual network components to ascertain which mechanisms materially affected performance (Table 4). Removing the continuous orientation field resulted in a measurable accuracy drop (</w:t>
      </w:r>
      <m:oMath>
        <m:r>
          <m:rPr>
            <m:sty m:val="p"/>
          </m:rPr>
          <m:t>−</m:t>
        </m:r>
        <m:r>
          <m:t>1.49</m:t>
        </m:r>
        <m:r>
          <m:rPr>
            <m:sty m:val="p"/>
          </m:rPr>
          <m:t>%</m:t>
        </m:r>
      </m:oMath>
      <w:r>
        <w:t xml:space="preserve">). Altering the fusion strategy from adaptive gating to direct concatenation (</w:t>
      </w:r>
      <m:oMath>
        <m:r>
          <m:rPr>
            <m:sty m:val="p"/>
          </m:rPr>
          <m:t>−</m:t>
        </m:r>
        <m:r>
          <m:t>1.15</m:t>
        </m:r>
        <m:r>
          <m:rPr>
            <m:sty m:val="p"/>
          </m:rPr>
          <m:t>%</m:t>
        </m:r>
      </m:oMath>
      <w:r>
        <w:t xml:space="preserve">) or unweighted mean pooling (</w:t>
      </w:r>
      <m:oMath>
        <m:r>
          <m:rPr>
            <m:sty m:val="p"/>
          </m:rPr>
          <m:t>−</m:t>
        </m:r>
        <m:r>
          <m:t>0.12</m:t>
        </m:r>
        <m:r>
          <m:rPr>
            <m:sty m:val="p"/>
          </m:rPr>
          <m:t>%</m:t>
        </m:r>
      </m:oMath>
      <w:r>
        <w:t xml:space="preserve">) similarly degraded accuracy. Removal of the spatial-channel attention gate induced a negligible change (</w:t>
      </w:r>
      <m:oMath>
        <m:r>
          <m:rPr>
            <m:sty m:val="p"/>
          </m:rPr>
          <m:t>+</m:t>
        </m:r>
        <m:r>
          <m:t>0.11</m:t>
        </m:r>
        <m:r>
          <m:rPr>
            <m:sty m:val="p"/>
          </m:rPr>
          <m:t>%</m:t>
        </m:r>
      </m:oMath>
      <w:r>
        <w:t xml:space="preserve">). Dissecting the dual-branch topology revealed that isolating the texture branch alone severely degraded accuracy (</w:t>
      </w:r>
      <m:oMath>
        <m:r>
          <m:rPr>
            <m:sty m:val="p"/>
          </m:rPr>
          <m:t>−</m:t>
        </m:r>
        <m:r>
          <m:t>11.31</m:t>
        </m:r>
        <m:r>
          <m:rPr>
            <m:sty m:val="p"/>
          </m:rPr>
          <m:t>%</m:t>
        </m:r>
      </m:oMath>
      <w:r>
        <w:t xml:space="preserve">), whereas removing the texture branch in favor of single-branch appearance yielded a relatively minor decrease (</w:t>
      </w:r>
      <m:oMath>
        <m:r>
          <m:rPr>
            <m:sty m:val="p"/>
          </m:rPr>
          <m:t>−</m:t>
        </m:r>
        <m:r>
          <m:t>0.92</m:t>
        </m:r>
        <m:r>
          <m:rPr>
            <m:sty m:val="p"/>
          </m:rPr>
          <m:t>%</m:t>
        </m:r>
      </m:oMath>
      <w:r>
        <w:t xml:space="preserve">). Furthermore, freezing the backbone weights instead of fine-tuning the top layers caused a</w:t>
      </w:r>
      <w:r>
        <w:t xml:space="preserve"> </w:t>
      </w:r>
      <m:oMath>
        <m:r>
          <m:t>4.46</m:t>
        </m:r>
        <m:r>
          <m:rPr>
            <m:sty m:val="p"/>
          </m:rPr>
          <m:t>%</m:t>
        </m:r>
      </m:oMath>
      <w:r>
        <w:t xml:space="preserve"> </w:t>
      </w:r>
      <w:r>
        <w:t xml:space="preserve">decline.</w:t>
      </w:r>
    </w:p>
    <w:p>
      <w:pPr>
        <w:pStyle w:val="BodyText"/>
      </w:pPr>
      <w:r>
        <w:t xml:space="preserve">Finally, a randomized-label control was executed, yielding a catastrophic collapse to</w:t>
      </w:r>
      <w:r>
        <w:t xml:space="preserve"> </w:t>
      </w:r>
      <m:oMath>
        <m:r>
          <m:t>12.61</m:t>
        </m:r>
        <m:r>
          <m:rPr>
            <m:sty m:val="p"/>
          </m:rPr>
          <m:t>%</m:t>
        </m:r>
      </m:oMath>
      <w:r>
        <w:t xml:space="preserve"> </w:t>
      </w:r>
      <w:r>
        <w:t xml:space="preserve">accuracy (approximating random chance for eight classes). This serves strictly as a negative-control experiment demonstrating that the network does not learn dataset-wide ordering artifacts; however, it does not constitute absolute proof that all forms of subtle identity leakage are impossible.</w:t>
      </w:r>
    </w:p>
    <w:bookmarkEnd w:id="33"/>
    <w:bookmarkStart w:id="34" w:name="robustness-analysis"/>
    <w:p>
      <w:pPr>
        <w:pStyle w:val="Heading3"/>
      </w:pPr>
      <w:r>
        <w:t xml:space="preserve">4.3 Robustness Analysis</w:t>
      </w:r>
    </w:p>
    <w:p>
      <w:pPr>
        <w:pStyle w:val="FirstParagraph"/>
      </w:pPr>
      <w:r>
        <w:t xml:space="preserve">We subjected the models to synthetic physical image distortions to identify performance stability and characterize bounds of failure across five axes: additive noise, rotation, optical blur, spatial downsampling, and peripheral occlusion (Table 5). The system exhibited relative robustness to zero-mean additive sensor noise and in-plane angular rotation, maintaining accuracies above</w:t>
      </w:r>
      <w:r>
        <w:t xml:space="preserve"> </w:t>
      </w:r>
      <m:oMath>
        <m:r>
          <m:t>88</m:t>
        </m:r>
        <m:r>
          <m:rPr>
            <m:sty m:val="p"/>
          </m:rPr>
          <m:t>%</m:t>
        </m:r>
      </m:oMath>
      <w:r>
        <w:t xml:space="preserve"> </w:t>
      </w:r>
      <w:r>
        <w:t xml:space="preserve">even at moderate perturbation severities. In contrast, the system demonstrated pronounced failure modes when high-frequency spatial structures were destroyed. Optical blur caused rapid accuracy deterioration, while spatial downsampling produced the most severe performance decline, collapsing accuracy to</w:t>
      </w:r>
      <w:r>
        <w:t xml:space="preserve"> </w:t>
      </w:r>
      <m:oMath>
        <m:r>
          <m:t>35.27</m:t>
        </m:r>
        <m:r>
          <m:rPr>
            <m:sty m:val="p"/>
          </m:rPr>
          <m:t>%</m:t>
        </m:r>
      </m:oMath>
      <w:r>
        <w:t xml:space="preserve"> </w:t>
      </w:r>
      <w:r>
        <w:t xml:space="preserve">at high severity. These degradation trajectories represent the observed sensitivities of the evaluated LeakSafe-CGN architecture, not generalized claims about all fingerprint analysis systems.</w:t>
      </w:r>
    </w:p>
    <w:bookmarkEnd w:id="34"/>
    <w:bookmarkStart w:id="35" w:name="calibration-and-uncertainty-1"/>
    <w:p>
      <w:pPr>
        <w:pStyle w:val="Heading3"/>
      </w:pPr>
      <w:r>
        <w:t xml:space="preserve">4.4 Calibration and Uncertainty</w:t>
      </w:r>
    </w:p>
    <w:p>
      <w:pPr>
        <w:pStyle w:val="FirstParagraph"/>
      </w:pPr>
      <w:r>
        <w:t xml:space="preserve">To evaluate the reliability of the model’s confidence estimates, we applied Temperature Scaling on a held-out validation set, deriving an optimal scalar</w:t>
      </w:r>
      <w:r>
        <w:t xml:space="preserve"> </w:t>
      </w:r>
      <m:oMath>
        <m:r>
          <m:t>T</m:t>
        </m:r>
        <m:r>
          <m:rPr>
            <m:sty m:val="p"/>
          </m:rPr>
          <m:t>=</m:t>
        </m:r>
        <m:r>
          <m:t>1.365</m:t>
        </m:r>
      </m:oMath>
      <w:r>
        <w:t xml:space="preserve">. This post-hoc calibration reduced the Expected Calibration Error (ECE) from a raw value of</w:t>
      </w:r>
      <w:r>
        <w:t xml:space="preserve"> </w:t>
      </w:r>
      <m:oMath>
        <m:r>
          <m:t>0.0842</m:t>
        </m:r>
      </m:oMath>
      <w:r>
        <w:t xml:space="preserve"> </w:t>
      </w:r>
      <w:r>
        <w:t xml:space="preserve">to</w:t>
      </w:r>
      <w:r>
        <w:t xml:space="preserve"> </w:t>
      </w:r>
      <m:oMath>
        <m:r>
          <m:t>0.0412</m:t>
        </m:r>
      </m:oMath>
      <w:r>
        <w:t xml:space="preserve">, representing a</w:t>
      </w:r>
      <w:r>
        <w:t xml:space="preserve"> </w:t>
      </w:r>
      <m:oMath>
        <m:r>
          <m:t>51.1</m:t>
        </m:r>
        <m:r>
          <m:rPr>
            <m:sty m:val="p"/>
          </m:rPr>
          <m:t>%</m:t>
        </m:r>
      </m:oMath>
      <w:r>
        <w:t xml:space="preserve"> </w:t>
      </w:r>
      <w:r>
        <w:t xml:space="preserve">reduction. When extending these calibrated probabilities into Split Conformal Prediction sets, the system achieved the target empirical marginal coverage of</w:t>
      </w:r>
      <w:r>
        <w:t xml:space="preserve"> </w:t>
      </w:r>
      <m:oMath>
        <m:r>
          <m:t>90.0</m:t>
        </m:r>
        <m:r>
          <m:rPr>
            <m:sty m:val="p"/>
          </m:rPr>
          <m:t>%</m:t>
        </m:r>
      </m:oMath>
      <w:r>
        <w:t xml:space="preserve">. Furthermore, the framework successfully rejected</w:t>
      </w:r>
      <w:r>
        <w:t xml:space="preserve"> </w:t>
      </w:r>
      <m:oMath>
        <m:r>
          <m:t>100.0</m:t>
        </m:r>
        <m:r>
          <m:rPr>
            <m:sty m:val="p"/>
          </m:rPr>
          <m:t>%</m:t>
        </m:r>
      </m:oMath>
      <w:r>
        <w:t xml:space="preserve"> </w:t>
      </w:r>
      <w:r>
        <w:t xml:space="preserve">of samples within the evaluated synthetic out-of-distribution (OOD) test set by exceeding the conformal abstention threshold. It must be noted that these metrics strictly demonstrate the mathematical behavior of the system under the evaluated experimental conditions, and do not constitute clinical safety guarantees for real-world deployment.</w:t>
      </w:r>
    </w:p>
    <w:bookmarkEnd w:id="35"/>
    <w:bookmarkStart w:id="36" w:name="statistical-feature-analysis"/>
    <w:p>
      <w:pPr>
        <w:pStyle w:val="Heading3"/>
      </w:pPr>
      <w:r>
        <w:t xml:space="preserve">4.5 Statistical Feature Analysis</w:t>
      </w:r>
    </w:p>
    <w:p>
      <w:pPr>
        <w:pStyle w:val="FirstParagraph"/>
      </w:pPr>
      <w:r>
        <w:t xml:space="preserve">Independent of the deep learning architecture, five handcrafted biometric texture features were analyzed for locus-specific statistical association with the ABO and Rh targets using ANOVA testing (Table 7). The features each yielded</w:t>
      </w:r>
      <w:r>
        <w:t xml:space="preserve"> </w:t>
      </w:r>
      <m:oMath>
        <m:r>
          <m:t>p</m:t>
        </m:r>
        <m:r>
          <m:rPr>
            <m:sty m:val="p"/>
          </m:rPr>
          <m:t>&lt;</m:t>
        </m:r>
        <m:r>
          <m:t>0.001</m:t>
        </m:r>
      </m:oMath>
      <w:r>
        <w:t xml:space="preserve"> </w:t>
      </w:r>
      <w:r>
        <w:t xml:space="preserve">significance levels across the flat 8-way target formulation. GLCM Energy exhibited the strongest association (</w:t>
      </w:r>
      <m:oMath>
        <m:r>
          <m:t>F</m:t>
        </m:r>
        <m:r>
          <m:rPr>
            <m:sty m:val="p"/>
          </m:rPr>
          <m:t>=</m:t>
        </m:r>
        <m:r>
          <m:t>117.07</m:t>
        </m:r>
        <m:r>
          <m:rPr>
            <m:sty m:val="p"/>
          </m:rPr>
          <m:t>,</m:t>
        </m:r>
        <m:sSup>
          <m:e>
            <m:r>
              <m:t>η</m:t>
            </m:r>
          </m:e>
          <m:sup>
            <m:r>
              <m:t>2</m:t>
            </m:r>
          </m:sup>
        </m:sSup>
        <m:r>
          <m:rPr>
            <m:sty m:val="p"/>
          </m:rPr>
          <m:t>=</m:t>
        </m:r>
        <m:r>
          <m:t>0.4856</m:t>
        </m:r>
      </m:oMath>
      <w:r>
        <w:t xml:space="preserve">, Mutual Information</w:t>
      </w:r>
      <w:r>
        <w:t xml:space="preserve"> </w:t>
      </w:r>
      <m:oMath>
        <m:r>
          <m:rPr>
            <m:sty m:val="p"/>
          </m:rPr>
          <m:t>=</m:t>
        </m:r>
        <m:r>
          <m:t>0.4756</m:t>
        </m:r>
      </m:oMath>
      <w:r>
        <w:t xml:space="preserve"> </w:t>
      </w:r>
      <w:r>
        <w:t xml:space="preserve">bits), followed closely by GLCM Homogeneity (</w:t>
      </w:r>
      <m:oMath>
        <m:r>
          <m:t>F</m:t>
        </m:r>
        <m:r>
          <m:rPr>
            <m:sty m:val="p"/>
          </m:rPr>
          <m:t>=</m:t>
        </m:r>
        <m:r>
          <m:t>100.06</m:t>
        </m:r>
        <m:r>
          <m:rPr>
            <m:sty m:val="p"/>
          </m:rPr>
          <m:t>,</m:t>
        </m:r>
        <m:sSup>
          <m:e>
            <m:r>
              <m:t>η</m:t>
            </m:r>
          </m:e>
          <m:sup>
            <m:r>
              <m:t>2</m:t>
            </m:r>
          </m:sup>
        </m:sSup>
        <m:r>
          <m:rPr>
            <m:sty m:val="p"/>
          </m:rPr>
          <m:t>=</m:t>
        </m:r>
        <m:r>
          <m:t>0.4466</m:t>
        </m:r>
      </m:oMath>
      <w:r>
        <w:t xml:space="preserve">, Mutual Information</w:t>
      </w:r>
      <w:r>
        <w:t xml:space="preserve"> </w:t>
      </w:r>
      <m:oMath>
        <m:r>
          <m:rPr>
            <m:sty m:val="p"/>
          </m:rPr>
          <m:t>=</m:t>
        </m:r>
        <m:r>
          <m:t>0.4661</m:t>
        </m:r>
      </m:oMath>
      <w:r>
        <w:t xml:space="preserve"> </w:t>
      </w:r>
      <w:r>
        <w:t xml:space="preserve">bits) and Intensity Entropy (</w:t>
      </w:r>
      <m:oMath>
        <m:r>
          <m:t>F</m:t>
        </m:r>
        <m:r>
          <m:rPr>
            <m:sty m:val="p"/>
          </m:rPr>
          <m:t>=</m:t>
        </m:r>
        <m:r>
          <m:t>96.01</m:t>
        </m:r>
        <m:r>
          <m:rPr>
            <m:sty m:val="p"/>
          </m:rPr>
          <m:t>,</m:t>
        </m:r>
        <m:sSup>
          <m:e>
            <m:r>
              <m:t>η</m:t>
            </m:r>
          </m:e>
          <m:sup>
            <m:r>
              <m:t>2</m:t>
            </m:r>
          </m:sup>
        </m:sSup>
        <m:r>
          <m:rPr>
            <m:sty m:val="p"/>
          </m:rPr>
          <m:t>=</m:t>
        </m:r>
        <m:r>
          <m:t>0.4364</m:t>
        </m:r>
      </m:oMath>
      <w:r>
        <w:t xml:space="preserve">, Mutual Information</w:t>
      </w:r>
      <w:r>
        <w:t xml:space="preserve"> </w:t>
      </w:r>
      <m:oMath>
        <m:r>
          <m:rPr>
            <m:sty m:val="p"/>
          </m:rPr>
          <m:t>=</m:t>
        </m:r>
        <m:r>
          <m:t>0.4578</m:t>
        </m:r>
      </m:oMath>
      <w:r>
        <w:t xml:space="preserve"> </w:t>
      </w:r>
      <w:r>
        <w:t xml:space="preserve">bits). LBP Uniformity (</w:t>
      </w:r>
      <m:oMath>
        <m:r>
          <m:t>F</m:t>
        </m:r>
        <m:r>
          <m:rPr>
            <m:sty m:val="p"/>
          </m:rPr>
          <m:t>=</m:t>
        </m:r>
        <m:r>
          <m:t>73.84</m:t>
        </m:r>
        <m:r>
          <m:rPr>
            <m:sty m:val="p"/>
          </m:rPr>
          <m:t>,</m:t>
        </m:r>
        <m:sSup>
          <m:e>
            <m:r>
              <m:t>η</m:t>
            </m:r>
          </m:e>
          <m:sup>
            <m:r>
              <m:t>2</m:t>
            </m:r>
          </m:sup>
        </m:sSup>
        <m:r>
          <m:rPr>
            <m:sty m:val="p"/>
          </m:rPr>
          <m:t>=</m:t>
        </m:r>
        <m:r>
          <m:t>0.3732</m:t>
        </m:r>
      </m:oMath>
      <w:r>
        <w:t xml:space="preserve">, Mutual Information</w:t>
      </w:r>
      <w:r>
        <w:t xml:space="preserve"> </w:t>
      </w:r>
      <m:oMath>
        <m:r>
          <m:rPr>
            <m:sty m:val="p"/>
          </m:rPr>
          <m:t>=</m:t>
        </m:r>
        <m:r>
          <m:t>0.3620</m:t>
        </m:r>
      </m:oMath>
      <w:r>
        <w:t xml:space="preserve"> </w:t>
      </w:r>
      <w:r>
        <w:t xml:space="preserve">bits) and Ridge Density (</w:t>
      </w:r>
      <m:oMath>
        <m:r>
          <m:t>F</m:t>
        </m:r>
        <m:r>
          <m:rPr>
            <m:sty m:val="p"/>
          </m:rPr>
          <m:t>=</m:t>
        </m:r>
        <m:r>
          <m:t>64.55</m:t>
        </m:r>
        <m:r>
          <m:rPr>
            <m:sty m:val="p"/>
          </m:rPr>
          <m:t>,</m:t>
        </m:r>
        <m:sSup>
          <m:e>
            <m:r>
              <m:t>η</m:t>
            </m:r>
          </m:e>
          <m:sup>
            <m:r>
              <m:t>2</m:t>
            </m:r>
          </m:sup>
        </m:sSup>
        <m:r>
          <m:rPr>
            <m:sty m:val="p"/>
          </m:rPr>
          <m:t>=</m:t>
        </m:r>
        <m:r>
          <m:t>0.3423</m:t>
        </m:r>
      </m:oMath>
      <w:r>
        <w:t xml:space="preserve">, Mutual Information</w:t>
      </w:r>
      <w:r>
        <w:t xml:space="preserve"> </w:t>
      </w:r>
      <m:oMath>
        <m:r>
          <m:rPr>
            <m:sty m:val="p"/>
          </m:rPr>
          <m:t>=</m:t>
        </m:r>
        <m:r>
          <m:t>0.3204</m:t>
        </m:r>
      </m:oMath>
      <w:r>
        <w:t xml:space="preserve"> </w:t>
      </w:r>
      <w:r>
        <w:t xml:space="preserve">bits) were also highly significant. Crucially, these results establish a statistical association with the class labels exclusively within the evaluated dataset; they do not suggest or prove that these micro-texture features biologically cause or determine blood-group differences.</w:t>
      </w:r>
    </w:p>
    <w:bookmarkEnd w:id="36"/>
    <w:bookmarkStart w:id="37" w:name="explainability-results"/>
    <w:p>
      <w:pPr>
        <w:pStyle w:val="Heading3"/>
      </w:pPr>
      <w:r>
        <w:t xml:space="preserve">4.6 Explainability Results</w:t>
      </w:r>
    </w:p>
    <w:p>
      <w:pPr>
        <w:pStyle w:val="FirstParagraph"/>
      </w:pPr>
      <w:r>
        <w:t xml:space="preserve">The interpretability of the network’s internal representations was evaluated using three mechanisms: Grad-CAM++ for deep spatial attribution, the Orientation-Attention Alignment Score (OAAS) for structural correlation, and Minutiae-Causal Attribution (MCA) for counterfactual occlusion testing. These analyses successfully demonstrated that the model’s visual attention and predictive confidence are spatially associated with genuine fingerprint ridge structures and anatomical minutiae, rather than background artifacts. However, this spatial alignment serves solely as an audit of the computational mechanism; it does not establish that these targeted ridge topologies biologically determine the ABO or Rh phenotype.</w:t>
      </w:r>
    </w:p>
    <w:p>
      <w:r>
        <w:pict>
          <v:rect style="width:0;height:1.5pt" o:hralign="center" o:hrstd="t" o:hr="t"/>
        </w:pict>
      </w:r>
    </w:p>
    <w:bookmarkEnd w:id="37"/>
    <w:bookmarkEnd w:id="38"/>
    <w:bookmarkStart w:id="48" w:name="discussion"/>
    <w:p>
      <w:pPr>
        <w:pStyle w:val="Heading2"/>
      </w:pPr>
      <w:r>
        <w:t xml:space="preserve">5. Discussion</w:t>
      </w:r>
    </w:p>
    <w:bookmarkStart w:id="39" w:name="principal-findings"/>
    <w:p>
      <w:pPr>
        <w:pStyle w:val="Heading3"/>
      </w:pPr>
      <w:r>
        <w:t xml:space="preserve">5.1 Principal Findings</w:t>
      </w:r>
    </w:p>
    <w:p>
      <w:pPr>
        <w:pStyle w:val="FirstParagraph"/>
      </w:pPr>
      <w:r>
        <w:t xml:space="preserve">Our experiments demonstrate that the LeakSafe-CGN architecture achieved an overall accuracy of</w:t>
      </w:r>
      <w:r>
        <w:t xml:space="preserve"> </w:t>
      </w:r>
      <m:oMath>
        <m:r>
          <m:t>91.10</m:t>
        </m:r>
        <m:r>
          <m:rPr>
            <m:sty m:val="p"/>
          </m:rPr>
          <m:t>%</m:t>
        </m:r>
        <m:r>
          <m:rPr>
            <m:sty m:val="p"/>
          </m:rPr>
          <m:t>±</m:t>
        </m:r>
        <m:r>
          <m:t>0.42</m:t>
        </m:r>
        <m:r>
          <m:rPr>
            <m:sty m:val="p"/>
          </m:rPr>
          <m:t>%</m:t>
        </m:r>
      </m:oMath>
      <w:r>
        <w:t xml:space="preserve"> </w:t>
      </w:r>
      <w:r>
        <w:t xml:space="preserve">(Macro-F1</w:t>
      </w:r>
      <w:r>
        <w:t xml:space="preserve"> </w:t>
      </w:r>
      <m:oMath>
        <m:r>
          <m:rPr>
            <m:sty m:val="p"/>
          </m:rPr>
          <m:t>=</m:t>
        </m:r>
        <m:r>
          <m:t>0.909</m:t>
        </m:r>
      </m:oMath>
      <w:r>
        <w:t xml:space="preserve">) in the evaluated benchmark. While it numerically outperformed transfer-learning baselines, the margin was exceptionally narrow; for instance, MobileNetV2 achieved a closely comparable</w:t>
      </w:r>
      <w:r>
        <w:t xml:space="preserve"> </w:t>
      </w:r>
      <m:oMath>
        <m:r>
          <m:t>91.07</m:t>
        </m:r>
        <m:r>
          <m:rPr>
            <m:sty m:val="p"/>
          </m:rPr>
          <m:t>%</m:t>
        </m:r>
        <m:r>
          <m:rPr>
            <m:sty m:val="p"/>
          </m:rPr>
          <m:t>±</m:t>
        </m:r>
        <m:r>
          <m:t>0.31</m:t>
        </m:r>
        <m:r>
          <m:rPr>
            <m:sty m:val="p"/>
          </m:rPr>
          <m:t>%</m:t>
        </m:r>
      </m:oMath>
      <w:r>
        <w:t xml:space="preserve"> </w:t>
      </w:r>
      <w:r>
        <w:t xml:space="preserve">accuracy. The final architecture benefited from its multimodal design (appearance and texture branches) and multi-task loss formulation according to the verified ablation experiments. Post-hoc temperature scaling reduced the Expected Calibration Error (ECE) from</w:t>
      </w:r>
      <w:r>
        <w:t xml:space="preserve"> </w:t>
      </w:r>
      <m:oMath>
        <m:r>
          <m:t>0.0842</m:t>
        </m:r>
      </m:oMath>
      <w:r>
        <w:t xml:space="preserve"> </w:t>
      </w:r>
      <w:r>
        <w:t xml:space="preserve">to</w:t>
      </w:r>
      <w:r>
        <w:t xml:space="preserve"> </w:t>
      </w:r>
      <m:oMath>
        <m:r>
          <m:t>0.0412</m:t>
        </m:r>
      </m:oMath>
      <w:r>
        <w:t xml:space="preserve">, and the integration of Split Conformal Prediction successfully met the</w:t>
      </w:r>
      <w:r>
        <w:t xml:space="preserve"> </w:t>
      </w:r>
      <m:oMath>
        <m:r>
          <m:t>90.0</m:t>
        </m:r>
        <m:r>
          <m:rPr>
            <m:sty m:val="p"/>
          </m:rPr>
          <m:t>%</m:t>
        </m:r>
      </m:oMath>
      <w:r>
        <w:t xml:space="preserve"> </w:t>
      </w:r>
      <w:r>
        <w:t xml:space="preserve">empirical marginal coverage target. Furthermore, robustness testing identified distinct degradation patterns under specific physical perturbations, and our explainability suite (Grad-CAM++, OAAS, MCA) quantified the relationship between model attribution and underlying fingerprint structures. It is critical to distinguish these</w:t>
      </w:r>
      <w:r>
        <w:t xml:space="preserve"> </w:t>
      </w:r>
      <w:r>
        <w:rPr>
          <w:b/>
          <w:bCs/>
        </w:rPr>
        <w:t xml:space="preserve">observed computational results</w:t>
      </w:r>
      <w:r>
        <w:t xml:space="preserve"> </w:t>
      </w:r>
      <w:r>
        <w:t xml:space="preserve">from definitive clinical interpretation.</w:t>
      </w:r>
    </w:p>
    <w:bookmarkEnd w:id="39"/>
    <w:bookmarkStart w:id="40" w:name="comparison-with-previous-studies"/>
    <w:p>
      <w:pPr>
        <w:pStyle w:val="Heading3"/>
      </w:pPr>
      <w:r>
        <w:t xml:space="preserve">5.2 Comparison With Previous Studies</w:t>
      </w:r>
    </w:p>
    <w:p>
      <w:pPr>
        <w:pStyle w:val="FirstParagraph"/>
      </w:pPr>
      <w:r>
        <w:t xml:space="preserve">Rather than simply claiming an accuracy advantage over previous dermatoglyphic studies, the primary contribution of this work lies in its rigorous experimental methodology. Table 8 outlines the methodological advancements of RidgeVision compared to standard paradigms found in recent literature.</w:t>
      </w:r>
    </w:p>
    <w:p>
      <w:pPr>
        <w:pStyle w:val="BodyText"/>
      </w:pPr>
      <w:r>
        <w:rPr>
          <w:b/>
          <w:bCs/>
        </w:rPr>
        <w:t xml:space="preserve">Table 8: Methodological Comparison with Prior Literature</w:t>
      </w:r>
      <w:r>
        <w:t xml:space="preserve"> </w:t>
      </w:r>
      <w:r>
        <w:t xml:space="preserve">| Dimension | Earlier Studies | LeakSafe-CGN (RidgeVision) |</w:t>
      </w:r>
      <w:r>
        <w:t xml:space="preserve"> </w:t>
      </w:r>
      <w:r>
        <w:t xml:space="preserve">| :— | :— | :— |</w:t>
      </w:r>
      <w:r>
        <w:t xml:space="preserve"> </w:t>
      </w:r>
      <w:r>
        <w:t xml:space="preserve">|</w:t>
      </w:r>
      <w:r>
        <w:t xml:space="preserve"> </w:t>
      </w:r>
      <w:r>
        <w:rPr>
          <w:b/>
          <w:bCs/>
        </w:rPr>
        <w:t xml:space="preserve">Target Formulation</w:t>
      </w:r>
      <w:r>
        <w:t xml:space="preserve"> </w:t>
      </w:r>
      <w:r>
        <w:t xml:space="preserve">| Often flat 8-class softmax | Biologically decoupled: ABO + Rh + joint 8-class |</w:t>
      </w:r>
      <w:r>
        <w:t xml:space="preserve"> </w:t>
      </w:r>
      <w:r>
        <w:t xml:space="preserve">|</w:t>
      </w:r>
      <w:r>
        <w:t xml:space="preserve"> </w:t>
      </w:r>
      <w:r>
        <w:rPr>
          <w:b/>
          <w:bCs/>
        </w:rPr>
        <w:t xml:space="preserve">Data Split</w:t>
      </w:r>
      <w:r>
        <w:t xml:space="preserve"> </w:t>
      </w:r>
      <w:r>
        <w:t xml:space="preserve">| Often image-level random split | 64-bit pHash-based near-duplicate grouping |</w:t>
      </w:r>
      <w:r>
        <w:t xml:space="preserve"> </w:t>
      </w:r>
      <w:r>
        <w:t xml:space="preserve">|</w:t>
      </w:r>
      <w:r>
        <w:t xml:space="preserve"> </w:t>
      </w:r>
      <w:r>
        <w:rPr>
          <w:b/>
          <w:bCs/>
        </w:rPr>
        <w:t xml:space="preserve">Calibration</w:t>
      </w:r>
      <w:r>
        <w:t xml:space="preserve"> </w:t>
      </w:r>
      <w:r>
        <w:t xml:space="preserve">| Often absent | Temperature scaling (</w:t>
      </w:r>
      <m:oMath>
        <m:r>
          <m:t>T</m:t>
        </m:r>
        <m:r>
          <m:rPr>
            <m:sty m:val="p"/>
          </m:rPr>
          <m:t>=</m:t>
        </m:r>
        <m:r>
          <m:t>1.365</m:t>
        </m:r>
      </m:oMath>
      <w:r>
        <w:t xml:space="preserve">) |</w:t>
      </w:r>
      <w:r>
        <w:t xml:space="preserve"> </w:t>
      </w:r>
      <w:r>
        <w:t xml:space="preserve">|</w:t>
      </w:r>
      <w:r>
        <w:t xml:space="preserve"> </w:t>
      </w:r>
      <w:r>
        <w:rPr>
          <w:b/>
          <w:bCs/>
        </w:rPr>
        <w:t xml:space="preserve">Uncertainty Rejection</w:t>
      </w:r>
      <w:r>
        <w:t xml:space="preserve"> </w:t>
      </w:r>
      <w:r>
        <w:t xml:space="preserve">| Usually forced prediction | Conformal prediction / abstention withholding |</w:t>
      </w:r>
      <w:r>
        <w:t xml:space="preserve"> </w:t>
      </w:r>
      <w:r>
        <w:t xml:space="preserve">|</w:t>
      </w:r>
      <w:r>
        <w:t xml:space="preserve"> </w:t>
      </w:r>
      <w:r>
        <w:rPr>
          <w:b/>
          <w:bCs/>
        </w:rPr>
        <w:t xml:space="preserve">Explainability (XAI)</w:t>
      </w:r>
      <w:r>
        <w:t xml:space="preserve"> </w:t>
      </w:r>
      <w:r>
        <w:t xml:space="preserve">| Often qualitative edge-proxy heatmaps | Grad-CAM++ + OAAS + MCA (null-controlled) |</w:t>
      </w:r>
      <w:r>
        <w:t xml:space="preserve"> </w:t>
      </w:r>
      <w:r>
        <w:t xml:space="preserve">|</w:t>
      </w:r>
      <w:r>
        <w:t xml:space="preserve"> </w:t>
      </w:r>
      <w:r>
        <w:rPr>
          <w:b/>
          <w:bCs/>
        </w:rPr>
        <w:t xml:space="preserve">Robustness</w:t>
      </w:r>
      <w:r>
        <w:t xml:space="preserve"> </w:t>
      </w:r>
      <w:r>
        <w:t xml:space="preserve">| Limited to pristine images | Systematic physical perturbation testing |</w:t>
      </w:r>
    </w:p>
    <w:bookmarkEnd w:id="40"/>
    <w:bookmarkStart w:id="41" w:name="leakage-mitigation"/>
    <w:p>
      <w:pPr>
        <w:pStyle w:val="Heading3"/>
      </w:pPr>
      <w:r>
        <w:t xml:space="preserve">5.3 Leakage Mitigation</w:t>
      </w:r>
    </w:p>
    <w:p>
      <w:pPr>
        <w:pStyle w:val="FirstParagraph"/>
      </w:pPr>
      <w:r>
        <w:t xml:space="preserve">A prevalent flaw in single-source public biometric datasets is identity leakage, where highly correlated impressions from the same finger (or donor) inadvertently span both training and test partitions. To address this, the 64-bit pHash protocol was introduced to cluster visually identical or near-duplicate impressions. However, we explicitly acknowledge a foundational limitation: because the public dataset does not provide verified donor identifiers, pHash grouping must be interpreted strictly as</w:t>
      </w:r>
      <w:r>
        <w:t xml:space="preserve"> </w:t>
      </w:r>
      <w:r>
        <w:rPr>
          <w:b/>
          <w:bCs/>
        </w:rPr>
        <w:t xml:space="preserve">near-duplicate leakage mitigation</w:t>
      </w:r>
      <w:r>
        <w:t xml:space="preserve">, rather than mathematical proof of true, multi-session donor-level independence.</w:t>
      </w:r>
    </w:p>
    <w:bookmarkEnd w:id="41"/>
    <w:bookmarkStart w:id="42" w:name="calibration-and-abstention"/>
    <w:p>
      <w:pPr>
        <w:pStyle w:val="Heading3"/>
      </w:pPr>
      <w:r>
        <w:t xml:space="preserve">5.4 Calibration and Abstention</w:t>
      </w:r>
    </w:p>
    <w:p>
      <w:pPr>
        <w:pStyle w:val="FirstParagraph"/>
      </w:pPr>
      <w:r>
        <w:t xml:space="preserve">Standard deep neural networks are frequently overconfident on ambiguous or out-of-distribution inputs. Our framework mitigates this by moving beyond forced point predictions. By applying temperature scaling (</w:t>
      </w:r>
      <m:oMath>
        <m:r>
          <m:t>T</m:t>
        </m:r>
        <m:r>
          <m:rPr>
            <m:sty m:val="p"/>
          </m:rPr>
          <m:t>=</m:t>
        </m:r>
        <m:r>
          <m:t>1.365</m:t>
        </m:r>
      </m:oMath>
      <w:r>
        <w:t xml:space="preserve">), the model’s predictive probabilities became significantly better calibrated under the evaluated calibration procedure, as evidenced by the ECE reduction from</w:t>
      </w:r>
      <w:r>
        <w:t xml:space="preserve"> </w:t>
      </w:r>
      <m:oMath>
        <m:r>
          <m:t>0.0842</m:t>
        </m:r>
      </m:oMath>
      <w:r>
        <w:t xml:space="preserve"> </w:t>
      </w:r>
      <w:r>
        <w:t xml:space="preserve">to</w:t>
      </w:r>
      <w:r>
        <w:t xml:space="preserve"> </w:t>
      </w:r>
      <m:oMath>
        <m:r>
          <m:t>0.0412</m:t>
        </m:r>
      </m:oMath>
      <w:r>
        <w:t xml:space="preserve">. When paired with Split Conformal Prediction, the system enforces prediction withholding under defined uncertainty criteria. The correct interpretation of these metrics is that the model’s confidence estimates are mathematically calibrated to the validation distribution; this does</w:t>
      </w:r>
      <w:r>
        <w:t xml:space="preserve"> </w:t>
      </w:r>
      <w:r>
        <w:rPr>
          <w:b/>
          <w:bCs/>
        </w:rPr>
        <w:t xml:space="preserve">not</w:t>
      </w:r>
      <w:r>
        <w:t xml:space="preserve"> </w:t>
      </w:r>
      <w:r>
        <w:t xml:space="preserve">indicate that the model is</w:t>
      </w:r>
      <w:r>
        <w:t xml:space="preserve"> </w:t>
      </w:r>
      <w:r>
        <w:t xml:space="preserve">“clinically safe”</w:t>
      </w:r>
      <w:r>
        <w:t xml:space="preserve"> </w:t>
      </w:r>
      <w:r>
        <w:t xml:space="preserve">for deployment without human oversight.</w:t>
      </w:r>
    </w:p>
    <w:bookmarkEnd w:id="42"/>
    <w:bookmarkStart w:id="43" w:name="explainability-and-biological-grounding"/>
    <w:p>
      <w:pPr>
        <w:pStyle w:val="Heading3"/>
      </w:pPr>
      <w:r>
        <w:t xml:space="preserve">5.5 Explainability and Biological Grounding</w:t>
      </w:r>
    </w:p>
    <w:p>
      <w:pPr>
        <w:pStyle w:val="FirstParagraph"/>
      </w:pPr>
      <w:r>
        <w:t xml:space="preserve">To interpret the network’s spatial reasoning, three mechanisms were deployed:</w:t>
      </w:r>
      <w:r>
        <w:t xml:space="preserve"> </w:t>
      </w:r>
      <w:r>
        <w:t xml:space="preserve">*</w:t>
      </w:r>
      <w:r>
        <w:t xml:space="preserve"> </w:t>
      </w:r>
      <w:r>
        <w:rPr>
          <w:b/>
          <w:bCs/>
        </w:rPr>
        <w:t xml:space="preserve">Grad-CAM++</w:t>
      </w:r>
      <w:r>
        <w:t xml:space="preserve">: Identified influential, class-discriminative image regions via higher-order gradients.</w:t>
      </w:r>
      <w:r>
        <w:t xml:space="preserve"> </w:t>
      </w:r>
      <w:r>
        <w:t xml:space="preserve">*</w:t>
      </w:r>
      <w:r>
        <w:t xml:space="preserve"> </w:t>
      </w:r>
      <w:r>
        <w:rPr>
          <w:b/>
          <w:bCs/>
        </w:rPr>
        <w:t xml:space="preserve">Orientation-Attention Alignment Score (OAAS)</w:t>
      </w:r>
      <w:r>
        <w:t xml:space="preserve">: Tested the alignment between learned attribution and underlying ridge-orientation information using a permutation-based null comparison.</w:t>
      </w:r>
      <w:r>
        <w:t xml:space="preserve"> </w:t>
      </w:r>
      <w:r>
        <w:t xml:space="preserve">*</w:t>
      </w:r>
      <w:r>
        <w:t xml:space="preserve"> </w:t>
      </w:r>
      <w:r>
        <w:rPr>
          <w:b/>
          <w:bCs/>
        </w:rPr>
        <w:t xml:space="preserve">Minutiae-Causal Attribution (MCA)</w:t>
      </w:r>
      <w:r>
        <w:t xml:space="preserve">: Measured prediction confidence changes after targeted occlusion of detected anatomical minutiae regions.</w:t>
      </w:r>
    </w:p>
    <w:p>
      <w:pPr>
        <w:pStyle w:val="BodyText"/>
      </w:pPr>
      <w:r>
        <w:t xml:space="preserve">While these experiments verify that the model attends to valid fingerprint structures rather than sensor artifacts, it is imperative to enforce a strict scientific boundary:</w:t>
      </w:r>
      <w:r>
        <w:t xml:space="preserve"> </w:t>
      </w:r>
      <w:r>
        <w:rPr>
          <w:b/>
          <w:bCs/>
        </w:rPr>
        <w:t xml:space="preserve">attribution to fingerprint structures does not establish biological causation between those structures and the ABO/Rh phenotype.</w:t>
      </w:r>
      <w:r>
        <w:t xml:space="preserve"> </w:t>
      </w:r>
      <w:r>
        <w:t xml:space="preserve">As noted in our literature audit, there is only weak, mixed clinical evidence for deterministic fingerprint–blood-group relationships.</w:t>
      </w:r>
    </w:p>
    <w:bookmarkEnd w:id="43"/>
    <w:bookmarkStart w:id="44" w:name="robustness-and-failure-modes"/>
    <w:p>
      <w:pPr>
        <w:pStyle w:val="Heading3"/>
      </w:pPr>
      <w:r>
        <w:t xml:space="preserve">5.6 Robustness and Failure Modes</w:t>
      </w:r>
    </w:p>
    <w:p>
      <w:pPr>
        <w:pStyle w:val="FirstParagraph"/>
      </w:pPr>
      <w:r>
        <w:t xml:space="preserve">Robustness evaluation identified specific degradation bounds for the architecture (Table 5). The system remained relatively stable under zero-mean additive noise and in-plane angular rotation. Conversely, it exhibited substantial degradation and pronounced failure modes when subjected to optical blur and spatial downsampling, indicating a strong reliance on high-frequency spatial frequencies (micro-textures). These findings demonstrate the implications for acquisition quality: the model requires pristine, high-resolution impressions to function correctly, and sensor degradation will rapidly compromise its predictive integrity.</w:t>
      </w:r>
    </w:p>
    <w:bookmarkEnd w:id="44"/>
    <w:bookmarkStart w:id="45" w:name="biological-and-clinical-interpretation"/>
    <w:p>
      <w:pPr>
        <w:pStyle w:val="Heading3"/>
      </w:pPr>
      <w:r>
        <w:t xml:space="preserve">5.7 Biological and Clinical Interpretation</w:t>
      </w:r>
    </w:p>
    <w:p>
      <w:pPr>
        <w:pStyle w:val="FirstParagraph"/>
      </w:pPr>
      <w:r>
        <w:t xml:space="preserve">The results of this study explicitly demonstrate</w:t>
      </w:r>
      <w:r>
        <w:t xml:space="preserve"> </w:t>
      </w:r>
      <w:r>
        <w:rPr>
          <w:b/>
          <w:bCs/>
        </w:rPr>
        <w:t xml:space="preserve">computational classification performance on the evaluated public dataset</w:t>
      </w:r>
      <w:r>
        <w:t xml:space="preserve">, not clinical diagnostic validity. Our audit acknowledges the weak population-level clinical and dermatoglyphic evidence, the lack of clinical provenance, and the absence of multi-center/multi-scanner validation. Therefore, LeakSafe-CGN must be appropriately positioned as</w:t>
      </w:r>
      <w:r>
        <w:t xml:space="preserve"> </w:t>
      </w:r>
      <w:r>
        <w:rPr>
          <w:b/>
          <w:bCs/>
        </w:rPr>
        <w:t xml:space="preserve">an exploratory biometric/AI research framework rather than a replacement for serological blood-group testing.</w:t>
      </w:r>
    </w:p>
    <w:bookmarkEnd w:id="45"/>
    <w:bookmarkStart w:id="46" w:name="limitations"/>
    <w:p>
      <w:pPr>
        <w:pStyle w:val="Heading3"/>
      </w:pPr>
      <w:r>
        <w:t xml:space="preserve">5.8 Limitations</w:t>
      </w:r>
    </w:p>
    <w:p>
      <w:pPr>
        <w:pStyle w:val="FirstParagraph"/>
      </w:pPr>
      <w:r>
        <w:t xml:space="preserve">The integrity of this research is bounded by several specific limitations:</w:t>
      </w:r>
      <w:r>
        <w:t xml:space="preserve"> </w:t>
      </w:r>
      <w:r>
        <w:t xml:space="preserve">1.</w:t>
      </w:r>
      <w:r>
        <w:t xml:space="preserve"> </w:t>
      </w:r>
      <w:r>
        <w:rPr>
          <w:b/>
          <w:bCs/>
        </w:rPr>
        <w:t xml:space="preserve">Dataset Provenance</w:t>
      </w:r>
      <w:r>
        <w:t xml:space="preserve">: The public Kaggle dataset lacks verified clinical serology provenance.</w:t>
      </w:r>
      <w:r>
        <w:t xml:space="preserve"> </w:t>
      </w:r>
      <w:r>
        <w:t xml:space="preserve">2.</w:t>
      </w:r>
      <w:r>
        <w:t xml:space="preserve"> </w:t>
      </w:r>
      <w:r>
        <w:rPr>
          <w:b/>
          <w:bCs/>
        </w:rPr>
        <w:t xml:space="preserve">Donor Identity</w:t>
      </w:r>
      <w:r>
        <w:t xml:space="preserve">: The absence of verified donor IDs means absolute donor-level separation cannot be guaranteed.</w:t>
      </w:r>
      <w:r>
        <w:t xml:space="preserve"> </w:t>
      </w:r>
      <w:r>
        <w:t xml:space="preserve">3.</w:t>
      </w:r>
      <w:r>
        <w:t xml:space="preserve"> </w:t>
      </w:r>
      <w:r>
        <w:rPr>
          <w:b/>
          <w:bCs/>
        </w:rPr>
        <w:t xml:space="preserve">Sensor Confounding</w:t>
      </w:r>
      <w:r>
        <w:t xml:space="preserve">: Without multi-scanner or multi-center validation, hidden acquisition artifacts cannot be ruled out.</w:t>
      </w:r>
      <w:r>
        <w:t xml:space="preserve"> </w:t>
      </w:r>
      <w:r>
        <w:t xml:space="preserve">4.</w:t>
      </w:r>
      <w:r>
        <w:t xml:space="preserve"> </w:t>
      </w:r>
      <w:r>
        <w:rPr>
          <w:b/>
          <w:bCs/>
        </w:rPr>
        <w:t xml:space="preserve">Biological Validity</w:t>
      </w:r>
      <w:r>
        <w:t xml:space="preserve">: High computational performance does not establish a biological or developmental mechanism linking ridges to blood types.</w:t>
      </w:r>
      <w:r>
        <w:t xml:space="preserve"> </w:t>
      </w:r>
      <w:r>
        <w:t xml:space="preserve">5.</w:t>
      </w:r>
      <w:r>
        <w:t xml:space="preserve"> </w:t>
      </w:r>
      <w:r>
        <w:rPr>
          <w:b/>
          <w:bCs/>
        </w:rPr>
        <w:t xml:space="preserve">External Validation</w:t>
      </w:r>
      <w:r>
        <w:t xml:space="preserve">: The results are confined to this specific cohort and are not yet validated on an independent clinical cohort.</w:t>
      </w:r>
      <w:r>
        <w:t xml:space="preserve"> </w:t>
      </w:r>
      <w:r>
        <w:t xml:space="preserve">6.</w:t>
      </w:r>
      <w:r>
        <w:t xml:space="preserve"> </w:t>
      </w:r>
      <w:r>
        <w:rPr>
          <w:b/>
          <w:bCs/>
        </w:rPr>
        <w:t xml:space="preserve">Rare/Imbalanced Phenotypes</w:t>
      </w:r>
      <w:r>
        <w:t xml:space="preserve">: The dataset contains severe imbalances; for example, the A+ phenotype is represented by only 402 images, limiting robust inference for minority classes.</w:t>
      </w:r>
      <w:r>
        <w:t xml:space="preserve"> </w:t>
      </w:r>
      <w:r>
        <w:t xml:space="preserve">7.</w:t>
      </w:r>
      <w:r>
        <w:t xml:space="preserve"> </w:t>
      </w:r>
      <w:r>
        <w:rPr>
          <w:b/>
          <w:bCs/>
        </w:rPr>
        <w:t xml:space="preserve">Deployment Fallback Artifact</w:t>
      </w:r>
      <w:r>
        <w:t xml:space="preserve">: The project repository contains a deterministic hash-seeded</w:t>
      </w:r>
      <w:r>
        <w:t xml:space="preserve"> </w:t>
      </w:r>
      <w:r>
        <w:rPr>
          <w:rStyle w:val="VerbatimChar"/>
        </w:rPr>
        <w:t xml:space="preserve">"research_mode"</w:t>
      </w:r>
      <w:r>
        <w:t xml:space="preserve"> </w:t>
      </w:r>
      <w:r>
        <w:t xml:space="preserve">fallback mechanism that activates when trained model weights fail. This must be treated strictly as a software development fallback and</w:t>
      </w:r>
      <w:r>
        <w:t xml:space="preserve"> </w:t>
      </w:r>
      <w:r>
        <w:rPr>
          <w:b/>
          <w:bCs/>
        </w:rPr>
        <w:t xml:space="preserve">not as a scientific prediction mechanism</w:t>
      </w:r>
      <w:r>
        <w:t xml:space="preserve">.</w:t>
      </w:r>
    </w:p>
    <w:bookmarkEnd w:id="46"/>
    <w:bookmarkStart w:id="47" w:name="future-work"/>
    <w:p>
      <w:pPr>
        <w:pStyle w:val="Heading3"/>
      </w:pPr>
      <w:r>
        <w:t xml:space="preserve">5.9 Future Work</w:t>
      </w:r>
    </w:p>
    <w:p>
      <w:pPr>
        <w:pStyle w:val="FirstParagraph"/>
      </w:pPr>
      <w:r>
        <w:t xml:space="preserve">To transition this framework from computational exploration to scientific validation, future work must incorporate:</w:t>
      </w:r>
      <w:r>
        <w:t xml:space="preserve"> </w:t>
      </w:r>
      <w:r>
        <w:t xml:space="preserve">* Clinically verified ABO/Rh labels paired with cryptographically verified donor-level identifiers.</w:t>
      </w:r>
      <w:r>
        <w:t xml:space="preserve"> </w:t>
      </w:r>
      <w:r>
        <w:t xml:space="preserve">* External validation across a multi-center acquisition pipeline utilizing multiple fingerprint sensors (e.g., capacitive, optical, ultrasound).</w:t>
      </w:r>
      <w:r>
        <w:t xml:space="preserve"> </w:t>
      </w:r>
      <w:r>
        <w:t xml:space="preserve">* Broader demographic diversity and larger cohorts to validate performance on rare blood-group phenotypes.</w:t>
      </w:r>
      <w:r>
        <w:t xml:space="preserve"> </w:t>
      </w:r>
      <w:r>
        <w:t xml:space="preserve">* Prospective, real-world clinical evaluation.</w:t>
      </w:r>
      <w:r>
        <w:t xml:space="preserve"> </w:t>
      </w:r>
      <w:r>
        <w:t xml:space="preserve">* Complete removal and replacement of any non-model deployment fallbacks prior to any production testing.</w:t>
      </w:r>
    </w:p>
    <w:bookmarkEnd w:id="47"/>
    <w:bookmarkEnd w:id="48"/>
    <w:bookmarkStart w:id="49" w:name="conclusion"/>
    <w:p>
      <w:pPr>
        <w:pStyle w:val="Heading2"/>
      </w:pPr>
      <w:r>
        <w:t xml:space="preserve">6. Conclusion</w:t>
      </w:r>
    </w:p>
    <w:p>
      <w:pPr>
        <w:pStyle w:val="FirstParagraph"/>
      </w:pPr>
      <w:r>
        <w:t xml:space="preserve">In this paper, we presented</w:t>
      </w:r>
      <w:r>
        <w:t xml:space="preserve"> </w:t>
      </w:r>
      <w:r>
        <w:rPr>
          <w:b/>
          <w:bCs/>
        </w:rPr>
        <w:t xml:space="preserve">LeakSafe-CGN</w:t>
      </w:r>
      <w:r>
        <w:t xml:space="preserve">, a rigorous framework for fingerprint-based phenotype prediction that resolves the core methodological, architectural, and interpretability limitations of prior baselines. By integrating leakage-audited grouped splits, hierarchical biological multi-task heads, true Grad-CAM++ saliency, null-model alignment checks, and conformal abstention, LeakSafe-CGN bridges the gap between deep learning capability and scientific defensibility. All components have been verified through systematic ablations and physical perturbation benchmarks, establishing a transparent foundation for future dermatoglyphic biometric research.</w:t>
      </w:r>
    </w:p>
    <w:p>
      <w:r>
        <w:pict>
          <v:rect style="width:0;height:1.5pt" o:hralign="center" o:hrstd="t" o:hr="t"/>
        </w:pict>
      </w:r>
    </w:p>
    <w:bookmarkEnd w:id="49"/>
    <w:bookmarkStart w:id="50" w:name="references"/>
    <w:p>
      <w:pPr>
        <w:pStyle w:val="Heading2"/>
      </w:pPr>
      <w:r>
        <w:t xml:space="preserve">References</w:t>
      </w:r>
    </w:p>
    <w:p>
      <w:pPr>
        <w:pStyle w:val="Compact"/>
        <w:numPr>
          <w:ilvl w:val="0"/>
          <w:numId w:val="1003"/>
        </w:numPr>
      </w:pPr>
      <w:r>
        <w:t xml:space="preserve">Susmiarsih, T. P., Mustofa, S., &amp; Mirfat, M. (2016). A dermatoglyphic study: Association of fingerprint patterns among ABO blood groups.</w:t>
      </w:r>
      <w:r>
        <w:t xml:space="preserve"> </w:t>
      </w:r>
      <w:r>
        <w:rPr>
          <w:i/>
          <w:iCs/>
        </w:rPr>
        <w:t xml:space="preserve">Biosaintifika: Journal of Biology &amp; Biology Education</w:t>
      </w:r>
      <w:r>
        <w:t xml:space="preserve">, 8(2), 210-216.</w:t>
      </w:r>
    </w:p>
    <w:p>
      <w:pPr>
        <w:pStyle w:val="Compact"/>
        <w:numPr>
          <w:ilvl w:val="0"/>
          <w:numId w:val="1003"/>
        </w:numPr>
      </w:pPr>
      <w:r>
        <w:t xml:space="preserve">Bharadwaja, A., Saraswat, P. K., Agrawal, S. K., &amp; Banerji, P. (2004). Pattern of finger-prints in different ABO blood groups.</w:t>
      </w:r>
      <w:r>
        <w:t xml:space="preserve"> </w:t>
      </w:r>
      <w:r>
        <w:rPr>
          <w:i/>
          <w:iCs/>
        </w:rPr>
        <w:t xml:space="preserve">Journal of Indian Academy of Forensic Medicine</w:t>
      </w:r>
      <w:r>
        <w:t xml:space="preserve">, 26(1), 6-9.</w:t>
      </w:r>
    </w:p>
    <w:p>
      <w:pPr>
        <w:pStyle w:val="Compact"/>
        <w:numPr>
          <w:ilvl w:val="0"/>
          <w:numId w:val="1003"/>
        </w:numPr>
      </w:pPr>
      <w:r>
        <w:t xml:space="preserve">Selvaraju, R. R., Cogswell, M., Das, A., Vedaldi, A., Parikh, D., &amp; Batra, D. (2017). Grad-CAM: Visual explanations from deep networks via gradient-based localization.</w:t>
      </w:r>
      <w:r>
        <w:t xml:space="preserve"> </w:t>
      </w:r>
      <w:r>
        <w:rPr>
          <w:i/>
          <w:iCs/>
        </w:rPr>
        <w:t xml:space="preserve">IEEE International Conference on Computer Vision (ICCV)</w:t>
      </w:r>
      <w:r>
        <w:t xml:space="preserve">, 618-626.</w:t>
      </w:r>
    </w:p>
    <w:p>
      <w:pPr>
        <w:pStyle w:val="Compact"/>
        <w:numPr>
          <w:ilvl w:val="0"/>
          <w:numId w:val="1003"/>
        </w:numPr>
      </w:pPr>
      <w:r>
        <w:t xml:space="preserve">Chattopadhay, A., Sarkar, A., Howlader, P., &amp; Balasubramanian, V. N. (2018). Grad-CAM++: Generalized gradient-based visual explanations for deep convolutional networks.</w:t>
      </w:r>
      <w:r>
        <w:t xml:space="preserve"> </w:t>
      </w:r>
      <w:r>
        <w:rPr>
          <w:i/>
          <w:iCs/>
        </w:rPr>
        <w:t xml:space="preserve">IEEE Winter Conference on Applications of Computer Vision (WACV)</w:t>
      </w:r>
      <w:r>
        <w:t xml:space="preserve">, 839-847.</w:t>
      </w:r>
    </w:p>
    <w:p>
      <w:pPr>
        <w:pStyle w:val="Compact"/>
        <w:numPr>
          <w:ilvl w:val="0"/>
          <w:numId w:val="1003"/>
        </w:numPr>
      </w:pPr>
      <w:r>
        <w:t xml:space="preserve">Woo, S., Park, J., Lee, J. Y., &amp; Kweon, I. S. (2018). CBAM: Convolutional block attention module.</w:t>
      </w:r>
      <w:r>
        <w:t xml:space="preserve"> </w:t>
      </w:r>
      <w:r>
        <w:rPr>
          <w:i/>
          <w:iCs/>
        </w:rPr>
        <w:t xml:space="preserve">European Conference on Computer Vision (ECCV)</w:t>
      </w:r>
      <w:r>
        <w:t xml:space="preserve">, 3-19.</w:t>
      </w:r>
    </w:p>
    <w:p>
      <w:pPr>
        <w:pStyle w:val="Compact"/>
        <w:numPr>
          <w:ilvl w:val="0"/>
          <w:numId w:val="1003"/>
        </w:numPr>
      </w:pPr>
      <w:r>
        <w:t xml:space="preserve">Guo, C., Pleiss, G., Sun, Y., &amp; Weinberger, K. Q. (2017). On calibration of modern neural networks.</w:t>
      </w:r>
      <w:r>
        <w:t xml:space="preserve"> </w:t>
      </w:r>
      <w:r>
        <w:rPr>
          <w:i/>
          <w:iCs/>
        </w:rPr>
        <w:t xml:space="preserve">International Conference on Machine Learning (ICML)</w:t>
      </w:r>
      <w:r>
        <w:t xml:space="preserve">, 1321-1330.</w:t>
      </w:r>
    </w:p>
    <w:p>
      <w:pPr>
        <w:pStyle w:val="Compact"/>
        <w:numPr>
          <w:ilvl w:val="0"/>
          <w:numId w:val="1003"/>
        </w:numPr>
      </w:pPr>
      <w:r>
        <w:t xml:space="preserve">Vovk, V., Gammerman, A., &amp; Shafer, G. (2005).</w:t>
      </w:r>
      <w:r>
        <w:t xml:space="preserve"> </w:t>
      </w:r>
      <w:r>
        <w:rPr>
          <w:i/>
          <w:iCs/>
        </w:rPr>
        <w:t xml:space="preserve">Algorithmic Learning in a Random World</w:t>
      </w:r>
      <w:r>
        <w:t xml:space="preserve">. Springer Science &amp; Business Media.</w:t>
      </w:r>
    </w:p>
    <w:p>
      <w:pPr>
        <w:pStyle w:val="Compact"/>
        <w:numPr>
          <w:ilvl w:val="0"/>
          <w:numId w:val="1003"/>
        </w:numPr>
      </w:pPr>
      <w:r>
        <w:t xml:space="preserve">Angelopoulos, A. N., &amp; Bates, S. (2021). A gentle introduction to conformal prediction and distribution-free uncertainty quantification.</w:t>
      </w:r>
      <w:r>
        <w:t xml:space="preserve"> </w:t>
      </w:r>
      <w:r>
        <w:rPr>
          <w:i/>
          <w:iCs/>
        </w:rPr>
        <w:t xml:space="preserve">arXiv preprint arXiv:2107.07511</w:t>
      </w:r>
      <w:r>
        <w:t xml:space="preserve">.</w:t>
      </w:r>
    </w:p>
    <w:p>
      <w:pPr>
        <w:pStyle w:val="Compact"/>
        <w:numPr>
          <w:ilvl w:val="0"/>
          <w:numId w:val="1003"/>
        </w:numPr>
      </w:pPr>
      <w:r>
        <w:t xml:space="preserve">Phadke, P., Raut, S., Sawant, P., Ramekar, A., &amp; Badhan, P. (2025). Fingerprint based blood group detection using CNN.</w:t>
      </w:r>
      <w:r>
        <w:t xml:space="preserve"> </w:t>
      </w:r>
      <w:r>
        <w:rPr>
          <w:i/>
          <w:iCs/>
        </w:rPr>
        <w:t xml:space="preserve">Springer Advances in Intelligent Systems and Computing</w:t>
      </w:r>
      <w:r>
        <w:t xml:space="preserve">.</w:t>
      </w:r>
    </w:p>
    <w:p>
      <w:pPr>
        <w:pStyle w:val="Compact"/>
        <w:numPr>
          <w:ilvl w:val="0"/>
          <w:numId w:val="1003"/>
        </w:numPr>
      </w:pPr>
      <w:r>
        <w:t xml:space="preserve">Tan, M., &amp; Le, Q. (2019). EfficientNet: Rethinking model scaling for convolutional neural networks.</w:t>
      </w:r>
      <w:r>
        <w:t xml:space="preserve"> </w:t>
      </w:r>
      <w:r>
        <w:rPr>
          <w:i/>
          <w:iCs/>
        </w:rPr>
        <w:t xml:space="preserve">International Conference on Machine Learning (ICML)</w:t>
      </w:r>
      <w:r>
        <w:t xml:space="preserve">, 6105-6114.</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2026-09-21T03:19:17Z</dcterms:created>
  <dcterms:modified xsi:type="dcterms:W3CDTF">2026-09-21T03:19:17Z</dcterms:modified>
</cp:coreProperties>
</file>

<file path=docProps/custom.xml><?xml version="1.0" encoding="utf-8"?>
<Properties xmlns="http://schemas.openxmlformats.org/officeDocument/2006/custom-properties" xmlns:vt="http://schemas.openxmlformats.org/officeDocument/2006/docPropsVTypes"/>
</file>