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D99" w:rsidRDefault="00785D99" w:rsidP="00785D99">
      <w:pPr>
        <w:pStyle w:val="berschrift1"/>
        <w:rPr>
          <w:lang w:val="en-US"/>
        </w:rPr>
      </w:pPr>
      <w:r>
        <w:rPr>
          <w:lang w:val="en-US"/>
        </w:rPr>
        <w:t>Function description</w:t>
      </w:r>
    </w:p>
    <w:p w:rsidR="00785D99" w:rsidRDefault="00785D99" w:rsidP="00785D99">
      <w:pPr>
        <w:rPr>
          <w:lang w:val="en-US"/>
        </w:rPr>
      </w:pPr>
    </w:p>
    <w:p w:rsidR="00785D99" w:rsidRDefault="00785D99" w:rsidP="00785D99">
      <w:pPr>
        <w:rPr>
          <w:lang w:val="en-US"/>
        </w:rPr>
      </w:pPr>
      <w:r>
        <w:rPr>
          <w:lang w:val="en-US"/>
        </w:rPr>
        <w:t>Function name:</w:t>
      </w:r>
    </w:p>
    <w:p w:rsidR="00785D99" w:rsidRDefault="00785D99" w:rsidP="00785D99">
      <w:pPr>
        <w:rPr>
          <w:lang w:val="en-US"/>
        </w:rPr>
      </w:pPr>
      <w:proofErr w:type="spellStart"/>
      <w:r>
        <w:rPr>
          <w:lang w:val="en-US"/>
        </w:rPr>
        <w:t>SolarCell_Analyt</w:t>
      </w:r>
      <w:proofErr w:type="spellEnd"/>
    </w:p>
    <w:p w:rsidR="00785D99" w:rsidRDefault="00785D99" w:rsidP="00785D99">
      <w:pPr>
        <w:rPr>
          <w:lang w:val="en-US"/>
        </w:rPr>
      </w:pPr>
    </w:p>
    <w:p w:rsidR="00785D99" w:rsidRDefault="00785D99" w:rsidP="00785D99">
      <w:pPr>
        <w:rPr>
          <w:lang w:val="en-US"/>
        </w:rPr>
      </w:pPr>
      <w:r>
        <w:rPr>
          <w:lang w:val="en-US"/>
        </w:rPr>
        <w:t xml:space="preserve">Including: </w:t>
      </w:r>
    </w:p>
    <w:p w:rsidR="00785D99" w:rsidRPr="00785D99" w:rsidRDefault="00785D99" w:rsidP="00785D9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785D99">
        <w:rPr>
          <w:lang w:val="en-US"/>
        </w:rPr>
        <w:t>Input_SolarCell_Analyt</w:t>
      </w:r>
      <w:proofErr w:type="spellEnd"/>
    </w:p>
    <w:p w:rsidR="00785D99" w:rsidRPr="00785D99" w:rsidRDefault="0024407F" w:rsidP="00785D9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AR_</w:t>
      </w:r>
      <w:r w:rsidR="00785D99" w:rsidRPr="00785D99">
        <w:rPr>
          <w:lang w:val="en-US"/>
        </w:rPr>
        <w:t>RAT</w:t>
      </w:r>
    </w:p>
    <w:p w:rsidR="00785D99" w:rsidRPr="00785D99" w:rsidRDefault="00785D99" w:rsidP="00785D9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785D99">
        <w:rPr>
          <w:lang w:val="en-US"/>
        </w:rPr>
        <w:t>Fresnel</w:t>
      </w:r>
      <w:r w:rsidR="0024407F">
        <w:rPr>
          <w:lang w:val="en-US"/>
        </w:rPr>
        <w:t>_complex</w:t>
      </w:r>
      <w:proofErr w:type="spellEnd"/>
    </w:p>
    <w:p w:rsidR="00785D99" w:rsidRDefault="00785D99" w:rsidP="00785D9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785D99">
        <w:rPr>
          <w:lang w:val="en-US"/>
        </w:rPr>
        <w:t>Snell_complex</w:t>
      </w:r>
      <w:proofErr w:type="spellEnd"/>
    </w:p>
    <w:p w:rsidR="00785D99" w:rsidRDefault="00785D99" w:rsidP="00785D99">
      <w:pPr>
        <w:rPr>
          <w:lang w:val="en-US"/>
        </w:rPr>
      </w:pPr>
      <w:r>
        <w:rPr>
          <w:lang w:val="en-US"/>
        </w:rPr>
        <w:t>Evaluation of results:</w:t>
      </w:r>
    </w:p>
    <w:p w:rsidR="00785D99" w:rsidRDefault="00785D99" w:rsidP="00785D9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Plot_Reflection</w:t>
      </w:r>
      <w:proofErr w:type="spellEnd"/>
    </w:p>
    <w:p w:rsidR="00785D99" w:rsidRDefault="00785D99" w:rsidP="00785D9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Plot_AllOpticEffects</w:t>
      </w:r>
      <w:bookmarkStart w:id="0" w:name="_GoBack"/>
      <w:bookmarkEnd w:id="0"/>
      <w:proofErr w:type="spellEnd"/>
    </w:p>
    <w:p w:rsidR="00785D99" w:rsidRDefault="00785D99" w:rsidP="00785D9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Plot_f_IQE</w:t>
      </w:r>
      <w:proofErr w:type="spellEnd"/>
    </w:p>
    <w:p w:rsidR="00785D99" w:rsidRDefault="00785D99" w:rsidP="00785D9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Plot_f_IQE_max</w:t>
      </w:r>
      <w:proofErr w:type="spellEnd"/>
    </w:p>
    <w:p w:rsidR="00785D99" w:rsidRPr="00785D99" w:rsidRDefault="00785D99" w:rsidP="00785D9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Plot_generation</w:t>
      </w:r>
      <w:proofErr w:type="spellEnd"/>
    </w:p>
    <w:p w:rsidR="00785D99" w:rsidRPr="00785D99" w:rsidRDefault="00785D99" w:rsidP="00785D99">
      <w:pPr>
        <w:rPr>
          <w:lang w:val="en-US"/>
        </w:rPr>
      </w:pPr>
    </w:p>
    <w:p w:rsidR="005107E7" w:rsidRDefault="005107E7" w:rsidP="00785D99">
      <w:pPr>
        <w:pStyle w:val="berschrift1"/>
        <w:rPr>
          <w:lang w:val="en-US"/>
        </w:rPr>
      </w:pPr>
      <w:r>
        <w:rPr>
          <w:lang w:val="en-US"/>
        </w:rPr>
        <w:t>History:</w:t>
      </w:r>
    </w:p>
    <w:p w:rsidR="005107E7" w:rsidRDefault="005107E7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786"/>
        <w:gridCol w:w="1495"/>
        <w:gridCol w:w="4781"/>
      </w:tblGrid>
      <w:tr w:rsidR="008A141D" w:rsidRPr="008A141D" w:rsidTr="00785D99">
        <w:tc>
          <w:tcPr>
            <w:tcW w:w="1537" w:type="pct"/>
          </w:tcPr>
          <w:p w:rsidR="008A141D" w:rsidRPr="008A141D" w:rsidRDefault="008A141D">
            <w:pPr>
              <w:rPr>
                <w:sz w:val="16"/>
              </w:rPr>
            </w:pPr>
          </w:p>
        </w:tc>
        <w:tc>
          <w:tcPr>
            <w:tcW w:w="825" w:type="pct"/>
          </w:tcPr>
          <w:p w:rsidR="008A141D" w:rsidRPr="008A141D" w:rsidRDefault="00736A41">
            <w:pPr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2638" w:type="pct"/>
          </w:tcPr>
          <w:p w:rsidR="008A141D" w:rsidRPr="008A141D" w:rsidRDefault="008A141D">
            <w:pPr>
              <w:rPr>
                <w:sz w:val="16"/>
              </w:rPr>
            </w:pPr>
            <w:proofErr w:type="spellStart"/>
            <w:r w:rsidRPr="008A141D">
              <w:rPr>
                <w:sz w:val="16"/>
              </w:rPr>
              <w:t>Assumptions</w:t>
            </w:r>
            <w:proofErr w:type="spellEnd"/>
          </w:p>
        </w:tc>
      </w:tr>
      <w:tr w:rsidR="008A141D" w:rsidRPr="008A141D" w:rsidTr="00785D99">
        <w:tc>
          <w:tcPr>
            <w:tcW w:w="1537" w:type="pct"/>
          </w:tcPr>
          <w:p w:rsidR="008A141D" w:rsidRPr="008A141D" w:rsidRDefault="008A141D">
            <w:pPr>
              <w:rPr>
                <w:sz w:val="16"/>
              </w:rPr>
            </w:pPr>
          </w:p>
        </w:tc>
        <w:tc>
          <w:tcPr>
            <w:tcW w:w="825" w:type="pct"/>
          </w:tcPr>
          <w:p w:rsidR="008A141D" w:rsidRPr="008A141D" w:rsidRDefault="008A141D">
            <w:pPr>
              <w:rPr>
                <w:sz w:val="16"/>
              </w:rPr>
            </w:pPr>
          </w:p>
        </w:tc>
        <w:tc>
          <w:tcPr>
            <w:tcW w:w="2638" w:type="pct"/>
          </w:tcPr>
          <w:p w:rsidR="008A141D" w:rsidRPr="008A141D" w:rsidRDefault="008A141D">
            <w:pPr>
              <w:rPr>
                <w:sz w:val="16"/>
              </w:rPr>
            </w:pPr>
          </w:p>
        </w:tc>
      </w:tr>
      <w:tr w:rsidR="008A141D" w:rsidRPr="00785D99" w:rsidTr="00785D99">
        <w:tc>
          <w:tcPr>
            <w:tcW w:w="1537" w:type="pct"/>
          </w:tcPr>
          <w:p w:rsidR="008A141D" w:rsidRPr="008A141D" w:rsidRDefault="0024407F" w:rsidP="00054DC5">
            <w:pPr>
              <w:rPr>
                <w:sz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f1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</w:rPr>
                        <m:t>si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</w:rPr>
                    <m:t>si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</w:rPr>
                <m:t>∙(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</w:rPr>
                    <m:t>rel,f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</w:rPr>
                    <m:t>db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</w:rPr>
                        <m:t>rel,f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</w:rPr>
                    <m:t>f1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</w:rPr>
                <m:t>)</m:t>
              </m:r>
            </m:oMath>
            <w:r w:rsidR="008A141D" w:rsidRPr="008A141D">
              <w:rPr>
                <w:rFonts w:eastAsiaTheme="minorEastAsia"/>
                <w:sz w:val="16"/>
              </w:rPr>
              <w:t xml:space="preserve"> </w:t>
            </w:r>
          </w:p>
        </w:tc>
        <w:tc>
          <w:tcPr>
            <w:tcW w:w="825" w:type="pct"/>
          </w:tcPr>
          <w:p w:rsidR="008A141D" w:rsidRPr="008A141D" w:rsidRDefault="008A141D" w:rsidP="008A141D">
            <w:pPr>
              <w:rPr>
                <w:sz w:val="16"/>
                <w:lang w:val="en-US"/>
              </w:rPr>
            </w:pPr>
            <w:r w:rsidRPr="008A141D">
              <w:rPr>
                <w:sz w:val="16"/>
                <w:lang w:val="en-US"/>
              </w:rPr>
              <w:t xml:space="preserve">Internal front reflection (1. </w:t>
            </w:r>
            <w:r>
              <w:rPr>
                <w:sz w:val="16"/>
                <w:lang w:val="en-US"/>
              </w:rPr>
              <w:t>hit)</w:t>
            </w:r>
          </w:p>
        </w:tc>
        <w:tc>
          <w:tcPr>
            <w:tcW w:w="2638" w:type="pct"/>
          </w:tcPr>
          <w:p w:rsidR="008A141D" w:rsidRPr="008A141D" w:rsidRDefault="008A141D" w:rsidP="00054DC5">
            <w:pPr>
              <w:pStyle w:val="Listenabsatz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8A141D">
              <w:rPr>
                <w:sz w:val="16"/>
                <w:lang w:val="en-US"/>
              </w:rPr>
              <w:t>Total reflection on fingers</w:t>
            </w:r>
          </w:p>
          <w:p w:rsidR="008A141D" w:rsidRPr="008A141D" w:rsidRDefault="008A141D" w:rsidP="00054DC5">
            <w:pPr>
              <w:pStyle w:val="Listenabsatz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8A141D">
              <w:rPr>
                <w:sz w:val="16"/>
                <w:lang w:val="en-US"/>
              </w:rPr>
              <w:t>On Si diffuse and direct share are reflected differently</w:t>
            </w:r>
          </w:p>
        </w:tc>
      </w:tr>
      <w:tr w:rsidR="008A141D" w:rsidRPr="00785D99" w:rsidTr="00785D99">
        <w:tc>
          <w:tcPr>
            <w:tcW w:w="1537" w:type="pct"/>
          </w:tcPr>
          <w:p w:rsidR="008A141D" w:rsidRPr="008A141D" w:rsidRDefault="0024407F">
            <w:pPr>
              <w:rPr>
                <w:sz w:val="16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f</m:t>
                  </m:r>
                  <m:r>
                    <w:rPr>
                      <w:rFonts w:ascii="Cambria Math" w:hAnsi="Cambria Math"/>
                      <w:sz w:val="16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</w:rPr>
                        <m:t>si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</w:rPr>
                    <m:t>si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</w:rPr>
                    <m:t>rel</m:t>
                  </m:r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16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</w:rPr>
                    <m:t>db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</w:rPr>
                        <m:t>rel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</w:rPr>
                    <m:t>f</m:t>
                  </m:r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lang w:val="en-US"/>
                </w:rPr>
                <m:t>)</m:t>
              </m:r>
            </m:oMath>
            <w:r w:rsidR="008A141D" w:rsidRPr="008A141D">
              <w:rPr>
                <w:rFonts w:eastAsiaTheme="minorEastAsia"/>
                <w:sz w:val="16"/>
                <w:lang w:val="en-US"/>
              </w:rPr>
              <w:t xml:space="preserve"> </w:t>
            </w:r>
          </w:p>
        </w:tc>
        <w:tc>
          <w:tcPr>
            <w:tcW w:w="825" w:type="pct"/>
          </w:tcPr>
          <w:p w:rsidR="008A141D" w:rsidRPr="008A141D" w:rsidRDefault="008A141D" w:rsidP="008A141D">
            <w:pPr>
              <w:rPr>
                <w:sz w:val="16"/>
                <w:lang w:val="en-US"/>
              </w:rPr>
            </w:pPr>
            <w:r w:rsidRPr="008A141D">
              <w:rPr>
                <w:sz w:val="16"/>
                <w:lang w:val="en-US"/>
              </w:rPr>
              <w:t>Internal front reflection (</w:t>
            </w:r>
            <w:r>
              <w:rPr>
                <w:sz w:val="16"/>
                <w:lang w:val="en-US"/>
              </w:rPr>
              <w:t>subsequent</w:t>
            </w:r>
            <w:r w:rsidRPr="008A141D"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hits)</w:t>
            </w:r>
          </w:p>
        </w:tc>
        <w:tc>
          <w:tcPr>
            <w:tcW w:w="2638" w:type="pct"/>
          </w:tcPr>
          <w:p w:rsidR="008A141D" w:rsidRPr="008A141D" w:rsidRDefault="008A141D">
            <w:pPr>
              <w:rPr>
                <w:sz w:val="16"/>
                <w:lang w:val="en-US"/>
              </w:rPr>
            </w:pPr>
          </w:p>
        </w:tc>
      </w:tr>
      <w:tr w:rsidR="008A141D" w:rsidRPr="00785D99" w:rsidTr="00785D99">
        <w:tc>
          <w:tcPr>
            <w:tcW w:w="1537" w:type="pct"/>
          </w:tcPr>
          <w:p w:rsidR="008A141D" w:rsidRPr="008A141D" w:rsidRDefault="0024407F" w:rsidP="005E4264">
            <w:pPr>
              <w:rPr>
                <w:sz w:val="16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  <w:lang w:val="en-US"/>
                    </w:rPr>
                    <m:t>f1</m:t>
                  </m:r>
                </m:sub>
              </m:sSub>
              <m:r>
                <w:rPr>
                  <w:rFonts w:ascii="Cambria Math" w:hAnsi="Cambria Math"/>
                  <w:sz w:val="16"/>
                  <w:lang w:val="en-US"/>
                </w:rPr>
                <m:t>=1-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6"/>
                      <w:lang w:val="en-US"/>
                    </w:rPr>
                    <m:t>f1</m:t>
                  </m:r>
                </m:sub>
              </m:sSub>
            </m:oMath>
            <w:r w:rsidR="008A141D" w:rsidRPr="008A141D">
              <w:rPr>
                <w:rFonts w:eastAsiaTheme="minorEastAsia"/>
                <w:sz w:val="16"/>
                <w:lang w:val="en-US"/>
              </w:rPr>
              <w:t xml:space="preserve"> </w:t>
            </w:r>
          </w:p>
        </w:tc>
        <w:tc>
          <w:tcPr>
            <w:tcW w:w="825" w:type="pct"/>
          </w:tcPr>
          <w:p w:rsidR="008A141D" w:rsidRPr="008A141D" w:rsidRDefault="008A141D" w:rsidP="00054DC5">
            <w:pPr>
              <w:pStyle w:val="Listenabsatz"/>
              <w:numPr>
                <w:ilvl w:val="0"/>
                <w:numId w:val="1"/>
              </w:numPr>
              <w:rPr>
                <w:sz w:val="16"/>
                <w:lang w:val="en-US"/>
              </w:rPr>
            </w:pPr>
          </w:p>
        </w:tc>
        <w:tc>
          <w:tcPr>
            <w:tcW w:w="2638" w:type="pct"/>
          </w:tcPr>
          <w:p w:rsidR="008A141D" w:rsidRPr="008A141D" w:rsidRDefault="008A141D" w:rsidP="00054DC5">
            <w:pPr>
              <w:pStyle w:val="Listenabsatz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8A141D">
              <w:rPr>
                <w:sz w:val="16"/>
                <w:lang w:val="en-US"/>
              </w:rPr>
              <w:t>No absorption in fingers or AR from inside the cell</w:t>
            </w:r>
          </w:p>
        </w:tc>
      </w:tr>
      <w:tr w:rsidR="008A141D" w:rsidRPr="008A141D" w:rsidTr="00785D99">
        <w:tc>
          <w:tcPr>
            <w:tcW w:w="1537" w:type="pct"/>
          </w:tcPr>
          <w:p w:rsidR="008A141D" w:rsidRPr="008A141D" w:rsidRDefault="0024407F">
            <w:pPr>
              <w:rPr>
                <w:sz w:val="16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  <w:lang w:val="en-US"/>
                    </w:rPr>
                    <m:t>fn</m:t>
                  </m:r>
                </m:sub>
              </m:sSub>
              <m:r>
                <w:rPr>
                  <w:rFonts w:ascii="Cambria Math" w:hAnsi="Cambria Math"/>
                  <w:sz w:val="16"/>
                  <w:lang w:val="en-US"/>
                </w:rPr>
                <m:t>=1-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6"/>
                      <w:lang w:val="en-US"/>
                    </w:rPr>
                    <m:t>fn</m:t>
                  </m:r>
                </m:sub>
              </m:sSub>
            </m:oMath>
            <w:r w:rsidR="008A141D" w:rsidRPr="008A141D">
              <w:rPr>
                <w:rFonts w:eastAsiaTheme="minorEastAsia"/>
                <w:sz w:val="16"/>
                <w:lang w:val="en-US"/>
              </w:rPr>
              <w:t xml:space="preserve"> </w:t>
            </w:r>
          </w:p>
        </w:tc>
        <w:tc>
          <w:tcPr>
            <w:tcW w:w="825" w:type="pct"/>
          </w:tcPr>
          <w:p w:rsidR="008A141D" w:rsidRPr="008A141D" w:rsidRDefault="008A141D">
            <w:pPr>
              <w:rPr>
                <w:sz w:val="16"/>
                <w:lang w:val="en-US"/>
              </w:rPr>
            </w:pPr>
          </w:p>
        </w:tc>
        <w:tc>
          <w:tcPr>
            <w:tcW w:w="2638" w:type="pct"/>
          </w:tcPr>
          <w:p w:rsidR="008A141D" w:rsidRPr="008A141D" w:rsidRDefault="008A141D">
            <w:pPr>
              <w:rPr>
                <w:sz w:val="16"/>
                <w:lang w:val="en-US"/>
              </w:rPr>
            </w:pPr>
          </w:p>
        </w:tc>
      </w:tr>
      <w:tr w:rsidR="008A141D" w:rsidRPr="008A141D" w:rsidTr="00785D99">
        <w:tc>
          <w:tcPr>
            <w:tcW w:w="1537" w:type="pct"/>
          </w:tcPr>
          <w:p w:rsidR="008A141D" w:rsidRPr="008A141D" w:rsidRDefault="008A141D">
            <w:pPr>
              <w:rPr>
                <w:sz w:val="16"/>
                <w:lang w:val="en-US"/>
              </w:rPr>
            </w:pPr>
          </w:p>
        </w:tc>
        <w:tc>
          <w:tcPr>
            <w:tcW w:w="825" w:type="pct"/>
          </w:tcPr>
          <w:p w:rsidR="008A141D" w:rsidRPr="008A141D" w:rsidRDefault="008A141D">
            <w:pPr>
              <w:rPr>
                <w:sz w:val="16"/>
                <w:lang w:val="en-US"/>
              </w:rPr>
            </w:pPr>
          </w:p>
        </w:tc>
        <w:tc>
          <w:tcPr>
            <w:tcW w:w="2638" w:type="pct"/>
          </w:tcPr>
          <w:p w:rsidR="008A141D" w:rsidRPr="008A141D" w:rsidRDefault="008A141D">
            <w:pPr>
              <w:rPr>
                <w:sz w:val="16"/>
                <w:lang w:val="en-US"/>
              </w:rPr>
            </w:pPr>
          </w:p>
        </w:tc>
      </w:tr>
      <w:tr w:rsidR="008A141D" w:rsidRPr="00785D99" w:rsidTr="00785D99">
        <w:tc>
          <w:tcPr>
            <w:tcW w:w="1537" w:type="pct"/>
          </w:tcPr>
          <w:p w:rsidR="008A141D" w:rsidRPr="00785D99" w:rsidRDefault="0024407F" w:rsidP="005107E7">
            <w:pPr>
              <w:rPr>
                <w:sz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lang w:val="en-US"/>
                    </w:rPr>
                    <m:t>back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  <w:lang w:val="en-US"/>
                    </w:rPr>
                    <m:t>fe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sz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sz w:val="16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lang w:val="en-US"/>
                                </w:rPr>
                                <m:t>bn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6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sz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n-US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  <w:sz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n-US"/>
                            </w:rPr>
                            <m:t>dn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n-US"/>
                            </w:rPr>
                            <m:t>dn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n-US"/>
                            </w:rPr>
                            <m:t>un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n-US"/>
                            </w:rPr>
                            <m:t>bn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n-US"/>
                            </w:rPr>
                            <m:t>fn</m:t>
                          </m:r>
                        </m:sub>
                      </m:sSub>
                    </m:den>
                  </m:f>
                </m:e>
              </m:d>
            </m:oMath>
            <w:r w:rsidR="005107E7" w:rsidRPr="00785D99">
              <w:rPr>
                <w:rFonts w:eastAsiaTheme="minorEastAsia"/>
                <w:sz w:val="16"/>
              </w:rPr>
              <w:t xml:space="preserve"> </w:t>
            </w:r>
          </w:p>
        </w:tc>
        <w:tc>
          <w:tcPr>
            <w:tcW w:w="825" w:type="pct"/>
          </w:tcPr>
          <w:p w:rsidR="008A141D" w:rsidRPr="008A141D" w:rsidRDefault="00736A4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Absorption in the back layer</w:t>
            </w:r>
          </w:p>
        </w:tc>
        <w:tc>
          <w:tcPr>
            <w:tcW w:w="2638" w:type="pct"/>
          </w:tcPr>
          <w:p w:rsidR="008A141D" w:rsidRPr="008A141D" w:rsidRDefault="008A141D">
            <w:pPr>
              <w:rPr>
                <w:sz w:val="16"/>
                <w:lang w:val="en-US"/>
              </w:rPr>
            </w:pPr>
          </w:p>
        </w:tc>
      </w:tr>
    </w:tbl>
    <w:p w:rsidR="000F4A98" w:rsidRDefault="000F4A98">
      <w:pPr>
        <w:rPr>
          <w:lang w:val="en-US"/>
        </w:rPr>
      </w:pPr>
    </w:p>
    <w:p w:rsidR="001D31D2" w:rsidRDefault="001D31D2">
      <w:pPr>
        <w:rPr>
          <w:lang w:val="en-US"/>
        </w:rPr>
      </w:pPr>
      <w:r>
        <w:rPr>
          <w:lang w:val="en-US"/>
        </w:rPr>
        <w:t>Testing the model</w:t>
      </w:r>
      <w:r w:rsidR="005107E7">
        <w:rPr>
          <w:lang w:val="en-US"/>
        </w:rPr>
        <w:t xml:space="preserve"> for</w:t>
      </w:r>
      <w:r>
        <w:rPr>
          <w:lang w:val="en-US"/>
        </w:rPr>
        <w:t xml:space="preserve"> consistency:</w:t>
      </w:r>
    </w:p>
    <w:p w:rsidR="001D31D2" w:rsidRDefault="0024407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FCA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back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Si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AR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grid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8A141D" w:rsidRDefault="0024407F">
      <w:pPr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W</m:t>
              </m:r>
            </m:sup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dx/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</m:t>
                  </m:r>
                </m:sub>
              </m:sSub>
            </m:e>
          </m:nary>
        </m:oMath>
      </m:oMathPara>
    </w:p>
    <w:p w:rsidR="001D31D2" w:rsidRDefault="001D31D2">
      <w:pPr>
        <w:rPr>
          <w:lang w:val="en-US"/>
        </w:rPr>
      </w:pPr>
    </w:p>
    <w:p w:rsidR="001D31D2" w:rsidRDefault="001D31D2">
      <w:pPr>
        <w:rPr>
          <w:lang w:val="en-US"/>
        </w:rPr>
      </w:pPr>
      <w:r>
        <w:rPr>
          <w:lang w:val="en-US"/>
        </w:rPr>
        <w:t>Determining parameters:</w:t>
      </w:r>
    </w:p>
    <w:p w:rsidR="001D31D2" w:rsidRDefault="001D31D2">
      <w:pPr>
        <w:rPr>
          <w:lang w:val="en-US"/>
        </w:rPr>
      </w:pPr>
    </w:p>
    <w:p w:rsidR="00F87928" w:rsidRDefault="00F87928">
      <w:pPr>
        <w:rPr>
          <w:lang w:val="en-US"/>
        </w:rPr>
      </w:pPr>
      <w:r>
        <w:rPr>
          <w:lang w:val="en-US"/>
        </w:rPr>
        <w:lastRenderedPageBreak/>
        <w:t>Important findings</w:t>
      </w:r>
      <w:r w:rsidR="001D31D2">
        <w:rPr>
          <w:lang w:val="en-US"/>
        </w:rPr>
        <w:t xml:space="preserve"> and problems</w:t>
      </w:r>
      <w:r>
        <w:rPr>
          <w:lang w:val="en-US"/>
        </w:rPr>
        <w:t>:</w:t>
      </w:r>
    </w:p>
    <w:p w:rsidR="00F87928" w:rsidRDefault="006F6A33" w:rsidP="00F8792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RAT algorithm is not possible if no AR-coating is included</w:t>
      </w:r>
    </w:p>
    <w:p w:rsidR="00F87928" w:rsidRDefault="00F87928" w:rsidP="00F87928">
      <w:pPr>
        <w:pStyle w:val="Listenabsatz"/>
        <w:numPr>
          <w:ilvl w:val="0"/>
          <w:numId w:val="1"/>
        </w:numPr>
        <w:rPr>
          <w:lang w:val="en-US"/>
        </w:rPr>
      </w:pPr>
      <w:r w:rsidRPr="00F87928">
        <w:rPr>
          <w:lang w:val="en-US"/>
        </w:rPr>
        <w:t>Material parameter diverge depending on the source</w:t>
      </w:r>
    </w:p>
    <w:p w:rsidR="007E69A1" w:rsidRPr="00F87928" w:rsidRDefault="007E69A1" w:rsidP="00F8792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Absorption and generation are equivalent. To get the absorption from the gene</w:t>
      </w:r>
      <w:r w:rsidR="00304B16">
        <w:rPr>
          <w:lang w:val="en-US"/>
        </w:rPr>
        <w:t>ration the latter needs to be di</w:t>
      </w:r>
      <w:r>
        <w:rPr>
          <w:lang w:val="en-US"/>
        </w:rPr>
        <w:t>vided by the number of incident photons</w:t>
      </w:r>
    </w:p>
    <w:p w:rsidR="00F87928" w:rsidRDefault="00F87928" w:rsidP="008A141D">
      <w:pPr>
        <w:rPr>
          <w:lang w:val="en-US"/>
        </w:rPr>
      </w:pPr>
    </w:p>
    <w:p w:rsidR="001D31D2" w:rsidRDefault="005107E7" w:rsidP="008A141D">
      <w:pPr>
        <w:rPr>
          <w:lang w:val="en-US"/>
        </w:rPr>
      </w:pPr>
      <w:r>
        <w:rPr>
          <w:lang w:val="en-US"/>
        </w:rPr>
        <w:t>Determination of the different parameters:</w:t>
      </w:r>
    </w:p>
    <w:p w:rsidR="005107E7" w:rsidRPr="008A141D" w:rsidRDefault="005107E7" w:rsidP="008A141D">
      <w:pPr>
        <w:rPr>
          <w:lang w:val="en-US"/>
        </w:rPr>
      </w:pPr>
    </w:p>
    <w:sectPr w:rsidR="005107E7" w:rsidRPr="008A14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9215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3257C5"/>
    <w:multiLevelType w:val="hybridMultilevel"/>
    <w:tmpl w:val="EC7C095E"/>
    <w:lvl w:ilvl="0" w:tplc="B10A3E86">
      <w:start w:val="9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676FC"/>
    <w:multiLevelType w:val="hybridMultilevel"/>
    <w:tmpl w:val="E8045DF6"/>
    <w:lvl w:ilvl="0" w:tplc="3AF05540">
      <w:start w:val="9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C5"/>
    <w:rsid w:val="00054DC5"/>
    <w:rsid w:val="000F4A98"/>
    <w:rsid w:val="001D31D2"/>
    <w:rsid w:val="001E1D77"/>
    <w:rsid w:val="00240CDD"/>
    <w:rsid w:val="0024407F"/>
    <w:rsid w:val="00304B16"/>
    <w:rsid w:val="003C0DB3"/>
    <w:rsid w:val="005107E7"/>
    <w:rsid w:val="00555879"/>
    <w:rsid w:val="005A3DB1"/>
    <w:rsid w:val="005E4264"/>
    <w:rsid w:val="006F6A33"/>
    <w:rsid w:val="00703CA3"/>
    <w:rsid w:val="00736A41"/>
    <w:rsid w:val="007400F9"/>
    <w:rsid w:val="00785D99"/>
    <w:rsid w:val="007E69A1"/>
    <w:rsid w:val="008A141D"/>
    <w:rsid w:val="009F5E08"/>
    <w:rsid w:val="00A021BC"/>
    <w:rsid w:val="00F14019"/>
    <w:rsid w:val="00F81106"/>
    <w:rsid w:val="00F87928"/>
  </w:rsids>
  <m:mathPr>
    <m:mathFont m:val="Cambria Math"/>
    <m:brkBin m:val="before"/>
    <m:brkBinSub m:val="--"/>
    <m:smallFrac m:val="0"/>
    <m:dispDef/>
    <m:lMargin m:val="1440"/>
    <m:rMargin m:val="0"/>
    <m:defJc m:val="left"/>
    <m:wrapIndent m:val="936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1091F-02A2-443D-AB7C-84F7AD48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5D9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5D9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5D9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5D9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5D9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5D9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5D9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5D9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5D9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54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54DC5"/>
    <w:rPr>
      <w:color w:val="808080"/>
    </w:rPr>
  </w:style>
  <w:style w:type="paragraph" w:styleId="Listenabsatz">
    <w:name w:val="List Paragraph"/>
    <w:basedOn w:val="Standard"/>
    <w:uiPriority w:val="34"/>
    <w:qFormat/>
    <w:rsid w:val="00054DC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85D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5D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5D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5D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5D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5D9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5D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5D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5D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Reiners</dc:creator>
  <cp:keywords/>
  <dc:description/>
  <cp:lastModifiedBy>Nils Reiners</cp:lastModifiedBy>
  <cp:revision>3</cp:revision>
  <dcterms:created xsi:type="dcterms:W3CDTF">2017-10-06T14:20:00Z</dcterms:created>
  <dcterms:modified xsi:type="dcterms:W3CDTF">2017-11-17T14:34:00Z</dcterms:modified>
</cp:coreProperties>
</file>