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val="0"/>
          <w:i w:val="0"/>
          <w:color w:val="000000"/>
          <w:sz w:val="50"/>
        </w:rPr>
        <w:t>Descriptive Data Analysis Report: Vivacity Schemes</w:t>
      </w:r>
    </w:p>
    <w:p>
      <w:pPr>
        <w:spacing w:after="240"/>
      </w:pPr>
      <w:r>
        <w:rPr>
          <w:rFonts w:ascii="Arial" w:hAnsi="Arial" w:eastAsia="Arial"/>
          <w:b w:val="0"/>
          <w:i w:val="0"/>
          <w:color w:val="555555"/>
          <w:sz w:val="22"/>
        </w:rPr>
        <w:t>Observed trends, mode/route patterns, pre/post summaries, equity context, and sensitivity-ready checks</w:t>
      </w:r>
    </w:p>
    <w:p>
      <w:pPr>
        <w:spacing w:before="360" w:after="120"/>
      </w:pPr>
      <w:r>
        <w:rPr>
          <w:rFonts w:ascii="Arial" w:hAnsi="Arial" w:eastAsia="Arial"/>
          <w:b w:val="0"/>
          <w:i w:val="0"/>
          <w:color w:val="000000"/>
          <w:sz w:val="38"/>
        </w:rPr>
        <w:t>Overview</w:t>
      </w:r>
    </w:p>
    <w:p>
      <w:pPr>
        <w:spacing w:after="160" w:line="276" w:lineRule="auto"/>
      </w:pPr>
      <w:r>
        <w:rPr>
          <w:rFonts w:ascii="Arial" w:hAnsi="Arial" w:eastAsia="Arial"/>
          <w:b w:val="0"/>
          <w:i w:val="0"/>
          <w:color w:val="000000"/>
          <w:sz w:val="22"/>
        </w:rPr>
        <w:t>This report analyses 52,144 usable daily rows across 5 schemes and 55 countlines after the full-day cutoff to 26 May 2026. These outputs are descriptive and should be used to explain observed patterns in the data; they do not resolve the causal control-validity issues identified by the diagnostic models.</w:t>
      </w:r>
    </w:p>
    <w:p>
      <w:pPr>
        <w:spacing w:before="360" w:after="120"/>
      </w:pPr>
      <w:r>
        <w:rPr>
          <w:rFonts w:ascii="Arial" w:hAnsi="Arial" w:eastAsia="Arial"/>
          <w:b w:val="0"/>
          <w:i w:val="0"/>
          <w:color w:val="000000"/>
          <w:sz w:val="38"/>
        </w:rPr>
        <w:t>1. Descriptive Trends for All Schemes</w:t>
      </w:r>
    </w:p>
    <w:p>
      <w:pPr>
        <w:spacing w:after="160" w:line="276" w:lineRule="auto"/>
      </w:pPr>
      <w:r>
        <w:rPr>
          <w:rFonts w:ascii="Arial" w:hAnsi="Arial" w:eastAsia="Arial"/>
          <w:b w:val="0"/>
          <w:i w:val="0"/>
          <w:color w:val="000000"/>
          <w:sz w:val="22"/>
        </w:rPr>
        <w:t>The weekly active-travel trend plot shows observed treated and control trajectories across all five schemes. Schemes 12b and 12e remain post-only treated descriptions. Schemes 12d, 12f, and 13 have pre/post treated records, but their control trajectories vary substantially, reinforcing the need for cautious causal wording.</w:t>
      </w:r>
    </w:p>
    <w:p>
      <w:pPr>
        <w:spacing w:before="240" w:after="80"/>
      </w:pPr>
      <w:r>
        <w:rPr>
          <w:rFonts w:ascii="Arial" w:hAnsi="Arial" w:eastAsia="Arial"/>
          <w:b/>
          <w:i w:val="0"/>
          <w:color w:val="000000"/>
          <w:sz w:val="20"/>
        </w:rPr>
        <w:t>Figure 1. Weekly active travel trends for all schemes.</w:t>
      </w:r>
    </w:p>
    <w:p>
      <w:r>
        <w:drawing>
          <wp:inline xmlns:a="http://schemas.openxmlformats.org/drawingml/2006/main" xmlns:pic="http://schemas.openxmlformats.org/drawingml/2006/picture">
            <wp:extent cx="5806440" cy="6334298"/>
            <wp:docPr id="1" name="Picture 1"/>
            <wp:cNvGraphicFramePr>
              <a:graphicFrameLocks noChangeAspect="1"/>
            </wp:cNvGraphicFramePr>
            <a:graphic>
              <a:graphicData uri="http://schemas.openxmlformats.org/drawingml/2006/picture">
                <pic:pic>
                  <pic:nvPicPr>
                    <pic:cNvPr id="0" name="weekly_active_travel_all_schemes.png"/>
                    <pic:cNvPicPr/>
                  </pic:nvPicPr>
                  <pic:blipFill>
                    <a:blip r:embed="rId9"/>
                    <a:stretch>
                      <a:fillRect/>
                    </a:stretch>
                  </pic:blipFill>
                  <pic:spPr>
                    <a:xfrm>
                      <a:off x="0" y="0"/>
                      <a:ext cx="5806440" cy="6334298"/>
                    </a:xfrm>
                    <a:prstGeom prst="rect"/>
                  </pic:spPr>
                </pic:pic>
              </a:graphicData>
            </a:graphic>
          </wp:inline>
        </w:drawing>
      </w:r>
    </w:p>
    <w:p>
      <w:pPr>
        <w:spacing w:before="360" w:after="120"/>
      </w:pPr>
      <w:r>
        <w:rPr>
          <w:rFonts w:ascii="Arial" w:hAnsi="Arial" w:eastAsia="Arial"/>
          <w:b w:val="0"/>
          <w:i w:val="0"/>
          <w:color w:val="000000"/>
          <w:sz w:val="38"/>
        </w:rPr>
        <w:t>2. Mode-Specific Analysis</w:t>
      </w:r>
    </w:p>
    <w:p>
      <w:pPr>
        <w:spacing w:after="160" w:line="276" w:lineRule="auto"/>
      </w:pPr>
      <w:r>
        <w:rPr>
          <w:rFonts w:ascii="Arial" w:hAnsi="Arial" w:eastAsia="Arial"/>
          <w:b w:val="0"/>
          <w:i w:val="0"/>
          <w:color w:val="000000"/>
          <w:sz w:val="22"/>
        </w:rPr>
        <w:t>Pedestrian and cyclist trends differ by scheme. Combined active travel can hide this variation, especially where pedestrian counts dominate. For dissertation writing, cyclist and pedestrian outcomes should be reported separately before discussing the combined active-travel total.</w:t>
      </w:r>
    </w:p>
    <w:p>
      <w:pPr>
        <w:spacing w:before="240" w:after="80"/>
      </w:pPr>
      <w:r>
        <w:rPr>
          <w:rFonts w:ascii="Arial" w:hAnsi="Arial" w:eastAsia="Arial"/>
          <w:b/>
          <w:i w:val="0"/>
          <w:color w:val="000000"/>
          <w:sz w:val="20"/>
        </w:rPr>
        <w:t>Figure 2. Monthly pedestrian, cyclist, and active-travel trends.</w:t>
      </w:r>
    </w:p>
    <w:p>
      <w:r>
        <w:drawing>
          <wp:inline xmlns:a="http://schemas.openxmlformats.org/drawingml/2006/main" xmlns:pic="http://schemas.openxmlformats.org/drawingml/2006/picture">
            <wp:extent cx="5806440" cy="3290316"/>
            <wp:docPr id="2" name="Picture 2"/>
            <wp:cNvGraphicFramePr>
              <a:graphicFrameLocks noChangeAspect="1"/>
            </wp:cNvGraphicFramePr>
            <a:graphic>
              <a:graphicData uri="http://schemas.openxmlformats.org/drawingml/2006/picture">
                <pic:pic>
                  <pic:nvPicPr>
                    <pic:cNvPr id="0" name="monthly_mode_trends_all_schemes.png"/>
                    <pic:cNvPicPr/>
                  </pic:nvPicPr>
                  <pic:blipFill>
                    <a:blip r:embed="rId10"/>
                    <a:stretch>
                      <a:fillRect/>
                    </a:stretch>
                  </pic:blipFill>
                  <pic:spPr>
                    <a:xfrm>
                      <a:off x="0" y="0"/>
                      <a:ext cx="5806440" cy="3290316"/>
                    </a:xfrm>
                    <a:prstGeom prst="rect"/>
                  </pic:spPr>
                </pic:pic>
              </a:graphicData>
            </a:graphic>
          </wp:inline>
        </w:drawing>
      </w:r>
    </w:p>
    <w:p>
      <w:pPr>
        <w:spacing w:before="360" w:after="120"/>
      </w:pPr>
      <w:r>
        <w:rPr>
          <w:rFonts w:ascii="Arial" w:hAnsi="Arial" w:eastAsia="Arial"/>
          <w:b w:val="0"/>
          <w:i w:val="0"/>
          <w:color w:val="000000"/>
          <w:sz w:val="38"/>
        </w:rPr>
        <w:t>3. Route-Type Analysis</w:t>
      </w:r>
    </w:p>
    <w:p>
      <w:pPr>
        <w:spacing w:after="160" w:line="276" w:lineRule="auto"/>
      </w:pPr>
      <w:r>
        <w:rPr>
          <w:rFonts w:ascii="Arial" w:hAnsi="Arial" w:eastAsia="Arial"/>
          <w:b w:val="0"/>
          <w:i w:val="0"/>
          <w:color w:val="000000"/>
          <w:sz w:val="22"/>
        </w:rPr>
        <w:t>The route-type analysis separates road countlines from path/cycle-facility countlines. This helps identify whether apparent scheme effects could reflect redistribution between roads and paths rather than net growth in walking or cycling. Route-type inference was tightened using countline names where the exported metadata used generic labels.</w:t>
      </w:r>
    </w:p>
    <w:p>
      <w:pPr>
        <w:spacing w:before="240" w:after="80"/>
      </w:pPr>
      <w:r>
        <w:rPr>
          <w:rFonts w:ascii="Arial" w:hAnsi="Arial" w:eastAsia="Arial"/>
          <w:b/>
          <w:i w:val="0"/>
          <w:color w:val="000000"/>
          <w:sz w:val="20"/>
        </w:rPr>
        <w:t>Figure 3. Weekly active travel by route type.</w:t>
      </w:r>
    </w:p>
    <w:p>
      <w:r>
        <w:drawing>
          <wp:inline xmlns:a="http://schemas.openxmlformats.org/drawingml/2006/main" xmlns:pic="http://schemas.openxmlformats.org/drawingml/2006/picture">
            <wp:extent cx="5806440" cy="3096768"/>
            <wp:docPr id="3" name="Picture 3"/>
            <wp:cNvGraphicFramePr>
              <a:graphicFrameLocks noChangeAspect="1"/>
            </wp:cNvGraphicFramePr>
            <a:graphic>
              <a:graphicData uri="http://schemas.openxmlformats.org/drawingml/2006/picture">
                <pic:pic>
                  <pic:nvPicPr>
                    <pic:cNvPr id="0" name="route_type_weekly_active_travel.png"/>
                    <pic:cNvPicPr/>
                  </pic:nvPicPr>
                  <pic:blipFill>
                    <a:blip r:embed="rId11"/>
                    <a:stretch>
                      <a:fillRect/>
                    </a:stretch>
                  </pic:blipFill>
                  <pic:spPr>
                    <a:xfrm>
                      <a:off x="0" y="0"/>
                      <a:ext cx="5806440" cy="3096768"/>
                    </a:xfrm>
                    <a:prstGeom prst="rect"/>
                  </pic:spPr>
                </pic:pic>
              </a:graphicData>
            </a:graphic>
          </wp:inline>
        </w:drawing>
      </w:r>
    </w:p>
    <w:p>
      <w:pPr>
        <w:spacing w:before="360" w:after="120"/>
      </w:pPr>
      <w:r>
        <w:rPr>
          <w:rFonts w:ascii="Arial" w:hAnsi="Arial" w:eastAsia="Arial"/>
          <w:b w:val="0"/>
          <w:i w:val="0"/>
          <w:color w:val="000000"/>
          <w:sz w:val="38"/>
        </w:rPr>
        <w:t>4. Pre/Post Descriptive Change</w:t>
      </w: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
        <w:gridCol w:w="2520"/>
        <w:gridCol w:w="1152"/>
        <w:gridCol w:w="1296"/>
        <w:gridCol w:w="1296"/>
        <w:gridCol w:w="1296"/>
      </w:tblGrid>
      <w:tr>
        <w:tc>
          <w:tcPr>
            <w:tcW w:type="dxa" w:w="1560"/>
            <w:shd w:fill="F1F3F4"/>
            <w:tcMar>
              <w:top w:w="80" w:type="dxa"/>
              <w:start w:w="110" w:type="dxa"/>
              <w:bottom w:w="80" w:type="dxa"/>
              <w:end w:w="110" w:type="dxa"/>
            </w:tcMar>
          </w:tcPr>
          <w:p>
            <w:r>
              <w:rPr>
                <w:rFonts w:ascii="Arial" w:hAnsi="Arial" w:eastAsia="Arial"/>
                <w:b/>
                <w:i w:val="0"/>
                <w:color w:val="000000"/>
                <w:sz w:val="17"/>
              </w:rPr>
              <w:t>Scheme</w:t>
            </w:r>
          </w:p>
        </w:tc>
        <w:tc>
          <w:tcPr>
            <w:tcW w:type="dxa" w:w="1560"/>
            <w:shd w:fill="F1F3F4"/>
            <w:tcMar>
              <w:top w:w="80" w:type="dxa"/>
              <w:start w:w="110" w:type="dxa"/>
              <w:bottom w:w="80" w:type="dxa"/>
              <w:end w:w="110" w:type="dxa"/>
            </w:tcMar>
          </w:tcPr>
          <w:p>
            <w:r>
              <w:rPr>
                <w:rFonts w:ascii="Arial" w:hAnsi="Arial" w:eastAsia="Arial"/>
                <w:b/>
                <w:i w:val="0"/>
                <w:color w:val="000000"/>
                <w:sz w:val="17"/>
              </w:rPr>
              <w:t>Status</w:t>
            </w:r>
          </w:p>
        </w:tc>
        <w:tc>
          <w:tcPr>
            <w:tcW w:type="dxa" w:w="1560"/>
            <w:shd w:fill="F1F3F4"/>
            <w:tcMar>
              <w:top w:w="80" w:type="dxa"/>
              <w:start w:w="110" w:type="dxa"/>
              <w:bottom w:w="80" w:type="dxa"/>
              <w:end w:w="110" w:type="dxa"/>
            </w:tcMar>
          </w:tcPr>
          <w:p>
            <w:r>
              <w:rPr>
                <w:rFonts w:ascii="Arial" w:hAnsi="Arial" w:eastAsia="Arial"/>
                <w:b/>
                <w:i w:val="0"/>
                <w:color w:val="000000"/>
                <w:sz w:val="17"/>
              </w:rPr>
              <w:t>Countlines</w:t>
            </w:r>
          </w:p>
        </w:tc>
        <w:tc>
          <w:tcPr>
            <w:tcW w:type="dxa" w:w="1560"/>
            <w:shd w:fill="F1F3F4"/>
            <w:tcMar>
              <w:top w:w="80" w:type="dxa"/>
              <w:start w:w="110" w:type="dxa"/>
              <w:bottom w:w="80" w:type="dxa"/>
              <w:end w:w="110" w:type="dxa"/>
            </w:tcMar>
          </w:tcPr>
          <w:p>
            <w:r>
              <w:rPr>
                <w:rFonts w:ascii="Arial" w:hAnsi="Arial" w:eastAsia="Arial"/>
                <w:b/>
                <w:i w:val="0"/>
                <w:color w:val="000000"/>
                <w:sz w:val="17"/>
              </w:rPr>
              <w:t>Mean pre</w:t>
            </w:r>
          </w:p>
        </w:tc>
        <w:tc>
          <w:tcPr>
            <w:tcW w:type="dxa" w:w="1560"/>
            <w:shd w:fill="F1F3F4"/>
            <w:tcMar>
              <w:top w:w="80" w:type="dxa"/>
              <w:start w:w="110" w:type="dxa"/>
              <w:bottom w:w="80" w:type="dxa"/>
              <w:end w:w="110" w:type="dxa"/>
            </w:tcMar>
          </w:tcPr>
          <w:p>
            <w:r>
              <w:rPr>
                <w:rFonts w:ascii="Arial" w:hAnsi="Arial" w:eastAsia="Arial"/>
                <w:b/>
                <w:i w:val="0"/>
                <w:color w:val="000000"/>
                <w:sz w:val="17"/>
              </w:rPr>
              <w:t>Mean post</w:t>
            </w:r>
          </w:p>
        </w:tc>
        <w:tc>
          <w:tcPr>
            <w:tcW w:type="dxa" w:w="1560"/>
            <w:shd w:fill="F1F3F4"/>
            <w:tcMar>
              <w:top w:w="80" w:type="dxa"/>
              <w:start w:w="110" w:type="dxa"/>
              <w:bottom w:w="80" w:type="dxa"/>
              <w:end w:w="110" w:type="dxa"/>
            </w:tcMar>
          </w:tcPr>
          <w:p>
            <w:r>
              <w:rPr>
                <w:rFonts w:ascii="Arial" w:hAnsi="Arial" w:eastAsia="Arial"/>
                <w:b/>
                <w:i w:val="0"/>
                <w:color w:val="000000"/>
                <w:sz w:val="17"/>
              </w:rPr>
              <w:t>% change</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12b</w:t>
            </w:r>
          </w:p>
        </w:tc>
        <w:tc>
          <w:tcPr>
            <w:tcW w:type="dxa" w:w="2520"/>
            <w:tcMar>
              <w:top w:w="80" w:type="dxa"/>
              <w:start w:w="110" w:type="dxa"/>
              <w:bottom w:w="80" w:type="dxa"/>
              <w:end w:w="110" w:type="dxa"/>
            </w:tcMar>
            <w:vAlign w:val="center"/>
          </w:tcPr>
          <w:p>
            <w:pPr>
              <w:spacing w:after="0"/>
            </w:pPr>
            <w:r>
              <w:rPr>
                <w:rFonts w:ascii="Arial" w:hAnsi="Arial" w:eastAsia="Arial"/>
                <w:b w:val="0"/>
                <w:i w:val="0"/>
                <w:color w:val="000000"/>
                <w:sz w:val="16"/>
              </w:rPr>
              <w:t>post_only_no_pre_baseline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4</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NA</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100.0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NA</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12d</w:t>
            </w:r>
          </w:p>
        </w:tc>
        <w:tc>
          <w:tcPr>
            <w:tcW w:type="dxa" w:w="2520"/>
            <w:tcMar>
              <w:top w:w="80" w:type="dxa"/>
              <w:start w:w="110" w:type="dxa"/>
              <w:bottom w:w="80" w:type="dxa"/>
              <w:end w:w="110" w:type="dxa"/>
            </w:tcMar>
            <w:vAlign w:val="center"/>
          </w:tcPr>
          <w:p>
            <w:pPr>
              <w:spacing w:after="0"/>
            </w:pPr>
            <w:r>
              <w:rPr>
                <w:rFonts w:ascii="Arial" w:hAnsi="Arial" w:eastAsia="Arial"/>
                <w:b w:val="0"/>
                <w:i w:val="0"/>
                <w:color w:val="000000"/>
                <w:sz w:val="16"/>
              </w:rPr>
              <w:t>pre_post_available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5</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157.9</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162.9</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3.2</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12e</w:t>
            </w:r>
          </w:p>
        </w:tc>
        <w:tc>
          <w:tcPr>
            <w:tcW w:type="dxa" w:w="2520"/>
            <w:tcMar>
              <w:top w:w="80" w:type="dxa"/>
              <w:start w:w="110" w:type="dxa"/>
              <w:bottom w:w="80" w:type="dxa"/>
              <w:end w:w="110" w:type="dxa"/>
            </w:tcMar>
            <w:vAlign w:val="center"/>
          </w:tcPr>
          <w:p>
            <w:pPr>
              <w:spacing w:after="0"/>
            </w:pPr>
            <w:r>
              <w:rPr>
                <w:rFonts w:ascii="Arial" w:hAnsi="Arial" w:eastAsia="Arial"/>
                <w:b w:val="0"/>
                <w:i w:val="0"/>
                <w:color w:val="000000"/>
                <w:sz w:val="16"/>
              </w:rPr>
              <w:t>post_only_no_pre_baseline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5</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NA</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180.0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NA</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12f</w:t>
            </w:r>
          </w:p>
        </w:tc>
        <w:tc>
          <w:tcPr>
            <w:tcW w:type="dxa" w:w="2520"/>
            <w:tcMar>
              <w:top w:w="80" w:type="dxa"/>
              <w:start w:w="110" w:type="dxa"/>
              <w:bottom w:w="80" w:type="dxa"/>
              <w:end w:w="110" w:type="dxa"/>
            </w:tcMar>
            <w:vAlign w:val="center"/>
          </w:tcPr>
          <w:p>
            <w:pPr>
              <w:spacing w:after="0"/>
            </w:pPr>
            <w:r>
              <w:rPr>
                <w:rFonts w:ascii="Arial" w:hAnsi="Arial" w:eastAsia="Arial"/>
                <w:b w:val="0"/>
                <w:i w:val="0"/>
                <w:color w:val="000000"/>
                <w:sz w:val="16"/>
              </w:rPr>
              <w:t>pre_post_available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3</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108.8</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105.4</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-3.1</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13</w:t>
            </w:r>
          </w:p>
        </w:tc>
        <w:tc>
          <w:tcPr>
            <w:tcW w:type="dxa" w:w="2520"/>
            <w:tcMar>
              <w:top w:w="80" w:type="dxa"/>
              <w:start w:w="110" w:type="dxa"/>
              <w:bottom w:w="80" w:type="dxa"/>
              <w:end w:w="110" w:type="dxa"/>
            </w:tcMar>
            <w:vAlign w:val="center"/>
          </w:tcPr>
          <w:p>
            <w:pPr>
              <w:spacing w:after="0"/>
            </w:pPr>
            <w:r>
              <w:rPr>
                <w:rFonts w:ascii="Arial" w:hAnsi="Arial" w:eastAsia="Arial"/>
                <w:b w:val="0"/>
                <w:i w:val="0"/>
                <w:color w:val="000000"/>
                <w:sz w:val="16"/>
              </w:rPr>
              <w:t>pre_post_available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4</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96.7</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73.8</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-23.7</w:t>
            </w:r>
          </w:p>
        </w:tc>
      </w:tr>
    </w:tbl>
    <w:p>
      <w:pPr>
        <w:spacing w:after="160" w:line="276" w:lineRule="auto"/>
      </w:pPr>
      <w:r>
        <w:rPr>
          <w:rFonts w:ascii="Arial" w:hAnsi="Arial" w:eastAsia="Arial"/>
          <w:b w:val="0"/>
          <w:i w:val="0"/>
          <w:color w:val="000000"/>
          <w:sz w:val="22"/>
        </w:rPr>
        <w:t>The table confirms the core data limitation: 12b and 12e have no treated pre-baseline. Among schemes with pre/post treated data, 12d shows a small average active-travel increase across treated countlines, 12f is broadly flat/slightly negative, and 13 declines on average because some Warrington Road countlines fall sharply after the intervention month.</w:t>
      </w:r>
    </w:p>
    <w:p>
      <w:pPr>
        <w:spacing w:before="360" w:after="120"/>
      </w:pPr>
      <w:r>
        <w:rPr>
          <w:rFonts w:ascii="Arial" w:hAnsi="Arial" w:eastAsia="Arial"/>
          <w:b w:val="0"/>
          <w:i w:val="0"/>
          <w:color w:val="000000"/>
          <w:sz w:val="38"/>
        </w:rPr>
        <w:t>5. Seasonality</w:t>
      </w:r>
    </w:p>
    <w:p>
      <w:pPr>
        <w:spacing w:after="160" w:line="276" w:lineRule="auto"/>
      </w:pPr>
      <w:r>
        <w:rPr>
          <w:rFonts w:ascii="Arial" w:hAnsi="Arial" w:eastAsia="Arial"/>
          <w:b w:val="0"/>
          <w:i w:val="0"/>
          <w:color w:val="000000"/>
          <w:sz w:val="22"/>
        </w:rPr>
        <w:t>Calendar-month profiles show clear seasonality and short-term volatility, especially for cycling. This supports the decision to avoid simple before/after interpretation and to include seasonality in the modelling strategy.</w:t>
      </w:r>
    </w:p>
    <w:p>
      <w:pPr>
        <w:spacing w:before="240" w:after="80"/>
      </w:pPr>
      <w:r>
        <w:rPr>
          <w:rFonts w:ascii="Arial" w:hAnsi="Arial" w:eastAsia="Arial"/>
          <w:b/>
          <w:i w:val="0"/>
          <w:color w:val="000000"/>
          <w:sz w:val="20"/>
        </w:rPr>
        <w:t>Figure 4. Calendar-month seasonality profiles.</w:t>
      </w:r>
    </w:p>
    <w:p>
      <w:r>
        <w:drawing>
          <wp:inline xmlns:a="http://schemas.openxmlformats.org/drawingml/2006/main" xmlns:pic="http://schemas.openxmlformats.org/drawingml/2006/picture">
            <wp:extent cx="5806440" cy="3096768"/>
            <wp:docPr id="4" name="Picture 4"/>
            <wp:cNvGraphicFramePr>
              <a:graphicFrameLocks noChangeAspect="1"/>
            </wp:cNvGraphicFramePr>
            <a:graphic>
              <a:graphicData uri="http://schemas.openxmlformats.org/drawingml/2006/picture">
                <pic:pic>
                  <pic:nvPicPr>
                    <pic:cNvPr id="0" name="seasonality_monthly_profile.png"/>
                    <pic:cNvPicPr/>
                  </pic:nvPicPr>
                  <pic:blipFill>
                    <a:blip r:embed="rId12"/>
                    <a:stretch>
                      <a:fillRect/>
                    </a:stretch>
                  </pic:blipFill>
                  <pic:spPr>
                    <a:xfrm>
                      <a:off x="0" y="0"/>
                      <a:ext cx="5806440" cy="3096768"/>
                    </a:xfrm>
                    <a:prstGeom prst="rect"/>
                  </pic:spPr>
                </pic:pic>
              </a:graphicData>
            </a:graphic>
          </wp:inline>
        </w:drawing>
      </w:r>
    </w:p>
    <w:p>
      <w:pPr>
        <w:spacing w:before="360" w:after="120"/>
      </w:pPr>
      <w:r>
        <w:rPr>
          <w:rFonts w:ascii="Arial" w:hAnsi="Arial" w:eastAsia="Arial"/>
          <w:b w:val="0"/>
          <w:i w:val="0"/>
          <w:color w:val="000000"/>
          <w:sz w:val="38"/>
        </w:rPr>
        <w:t>6. Deprivation-Context Descriptive Summary</w:t>
      </w: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792"/>
        <w:gridCol w:w="1728"/>
        <w:gridCol w:w="2232"/>
        <w:gridCol w:w="1008"/>
        <w:gridCol w:w="1296"/>
        <w:gridCol w:w="1152"/>
        <w:gridCol w:w="1296"/>
      </w:tblGrid>
      <w:tr>
        <w:tc>
          <w:tcPr>
            <w:tcW w:type="dxa" w:w="1337"/>
            <w:shd w:fill="F1F3F4"/>
            <w:tcMar>
              <w:top w:w="80" w:type="dxa"/>
              <w:start w:w="110" w:type="dxa"/>
              <w:bottom w:w="80" w:type="dxa"/>
              <w:end w:w="110" w:type="dxa"/>
            </w:tcMar>
          </w:tcPr>
          <w:p>
            <w:r>
              <w:rPr>
                <w:rFonts w:ascii="Arial" w:hAnsi="Arial" w:eastAsia="Arial"/>
                <w:b/>
                <w:i w:val="0"/>
                <w:color w:val="000000"/>
                <w:sz w:val="17"/>
              </w:rPr>
              <w:t>Scheme</w:t>
            </w:r>
          </w:p>
        </w:tc>
        <w:tc>
          <w:tcPr>
            <w:tcW w:type="dxa" w:w="1337"/>
            <w:shd w:fill="F1F3F4"/>
            <w:tcMar>
              <w:top w:w="80" w:type="dxa"/>
              <w:start w:w="110" w:type="dxa"/>
              <w:bottom w:w="80" w:type="dxa"/>
              <w:end w:w="110" w:type="dxa"/>
            </w:tcMar>
          </w:tcPr>
          <w:p>
            <w:r>
              <w:rPr>
                <w:rFonts w:ascii="Arial" w:hAnsi="Arial" w:eastAsia="Arial"/>
                <w:b/>
                <w:i w:val="0"/>
                <w:color w:val="000000"/>
                <w:sz w:val="17"/>
              </w:rPr>
              <w:t>Role</w:t>
            </w:r>
          </w:p>
        </w:tc>
        <w:tc>
          <w:tcPr>
            <w:tcW w:type="dxa" w:w="1337"/>
            <w:shd w:fill="F1F3F4"/>
            <w:tcMar>
              <w:top w:w="80" w:type="dxa"/>
              <w:start w:w="110" w:type="dxa"/>
              <w:bottom w:w="80" w:type="dxa"/>
              <w:end w:w="110" w:type="dxa"/>
            </w:tcMar>
          </w:tcPr>
          <w:p>
            <w:r>
              <w:rPr>
                <w:rFonts w:ascii="Arial" w:hAnsi="Arial" w:eastAsia="Arial"/>
                <w:b/>
                <w:i w:val="0"/>
                <w:color w:val="000000"/>
                <w:sz w:val="17"/>
              </w:rPr>
              <w:t>IMD band</w:t>
            </w:r>
          </w:p>
        </w:tc>
        <w:tc>
          <w:tcPr>
            <w:tcW w:type="dxa" w:w="1337"/>
            <w:shd w:fill="F1F3F4"/>
            <w:tcMar>
              <w:top w:w="80" w:type="dxa"/>
              <w:start w:w="110" w:type="dxa"/>
              <w:bottom w:w="80" w:type="dxa"/>
              <w:end w:w="110" w:type="dxa"/>
            </w:tcMar>
          </w:tcPr>
          <w:p>
            <w:r>
              <w:rPr>
                <w:rFonts w:ascii="Arial" w:hAnsi="Arial" w:eastAsia="Arial"/>
                <w:b/>
                <w:i w:val="0"/>
                <w:color w:val="000000"/>
                <w:sz w:val="17"/>
              </w:rPr>
              <w:t>Countlines</w:t>
            </w:r>
          </w:p>
        </w:tc>
        <w:tc>
          <w:tcPr>
            <w:tcW w:type="dxa" w:w="1337"/>
            <w:shd w:fill="F1F3F4"/>
            <w:tcMar>
              <w:top w:w="80" w:type="dxa"/>
              <w:start w:w="110" w:type="dxa"/>
              <w:bottom w:w="80" w:type="dxa"/>
              <w:end w:w="110" w:type="dxa"/>
            </w:tcMar>
          </w:tcPr>
          <w:p>
            <w:r>
              <w:rPr>
                <w:rFonts w:ascii="Arial" w:hAnsi="Arial" w:eastAsia="Arial"/>
                <w:b/>
                <w:i w:val="0"/>
                <w:color w:val="000000"/>
                <w:sz w:val="17"/>
              </w:rPr>
              <w:t>Mean active</w:t>
            </w:r>
          </w:p>
        </w:tc>
        <w:tc>
          <w:tcPr>
            <w:tcW w:type="dxa" w:w="1337"/>
            <w:shd w:fill="F1F3F4"/>
            <w:tcMar>
              <w:top w:w="80" w:type="dxa"/>
              <w:start w:w="110" w:type="dxa"/>
              <w:bottom w:w="80" w:type="dxa"/>
              <w:end w:w="110" w:type="dxa"/>
            </w:tcMar>
          </w:tcPr>
          <w:p>
            <w:r>
              <w:rPr>
                <w:rFonts w:ascii="Arial" w:hAnsi="Arial" w:eastAsia="Arial"/>
                <w:b/>
                <w:i w:val="0"/>
                <w:color w:val="000000"/>
                <w:sz w:val="17"/>
              </w:rPr>
              <w:t>Mean IMD</w:t>
            </w:r>
          </w:p>
        </w:tc>
        <w:tc>
          <w:tcPr>
            <w:tcW w:type="dxa" w:w="1337"/>
            <w:shd w:fill="F1F3F4"/>
            <w:tcMar>
              <w:top w:w="80" w:type="dxa"/>
              <w:start w:w="110" w:type="dxa"/>
              <w:bottom w:w="80" w:type="dxa"/>
              <w:end w:w="110" w:type="dxa"/>
            </w:tcMar>
          </w:tcPr>
          <w:p>
            <w:r>
              <w:rPr>
                <w:rFonts w:ascii="Arial" w:hAnsi="Arial" w:eastAsia="Arial"/>
                <w:b/>
                <w:i w:val="0"/>
                <w:color w:val="000000"/>
                <w:sz w:val="17"/>
              </w:rPr>
              <w:t>Walk/cycle %</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12b</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Treated</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Middle deprivation (IMD 4-7)</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4</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100.0</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6.0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2.8</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12f</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Treated</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Middle deprivation (IMD 4-7)</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3</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105.9</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7.0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3.0</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12f</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Descriptive-only control</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affluent (IMD 8-10)</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1</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196.9</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8.0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3.3</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12f</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Valid control</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affluent (IMD 8-10)</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3</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209.8</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8.0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4.6</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12d</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Treated</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deprived (IMD 1-3)</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5</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168.7</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3.0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8.0</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12d</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Descriptive-only control</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deprived (IMD 1-3)</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12</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143.2</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2.2</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11.3</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12d</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Valid control</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deprived (IMD 1-3)</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3</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156.8</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2.0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8.6</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12e</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Treated</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deprived (IMD 1-3)</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5</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179.5</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13.2</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13</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Descriptive-only control</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deprived (IMD 1-3)</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8</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243.3</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18.3</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13</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Valid control</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deprived (IMD 1-3)</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7</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82.8</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15.3</w:t>
            </w:r>
          </w:p>
        </w:tc>
      </w:tr>
      <w:tr>
        <w:tc>
          <w:tcPr>
            <w:tcW w:type="dxa" w:w="792"/>
            <w:tcMar>
              <w:top w:w="80" w:type="dxa"/>
              <w:start w:w="110" w:type="dxa"/>
              <w:bottom w:w="80" w:type="dxa"/>
              <w:end w:w="110" w:type="dxa"/>
            </w:tcMar>
            <w:vAlign w:val="center"/>
          </w:tcPr>
          <w:p>
            <w:pPr>
              <w:spacing w:after="0"/>
              <w:jc w:val="center"/>
            </w:pPr>
            <w:r>
              <w:rPr>
                <w:rFonts w:ascii="Arial" w:hAnsi="Arial" w:eastAsia="Arial"/>
                <w:b w:val="0"/>
                <w:i w:val="0"/>
                <w:color w:val="000000"/>
                <w:sz w:val="16"/>
              </w:rPr>
              <w:t>13</w:t>
            </w:r>
          </w:p>
        </w:tc>
        <w:tc>
          <w:tcPr>
            <w:tcW w:type="dxa" w:w="1728"/>
            <w:tcMar>
              <w:top w:w="80" w:type="dxa"/>
              <w:start w:w="110" w:type="dxa"/>
              <w:bottom w:w="80" w:type="dxa"/>
              <w:end w:w="110" w:type="dxa"/>
            </w:tcMar>
            <w:vAlign w:val="center"/>
          </w:tcPr>
          <w:p>
            <w:pPr>
              <w:spacing w:after="0"/>
            </w:pPr>
            <w:r>
              <w:rPr>
                <w:rFonts w:ascii="Arial" w:hAnsi="Arial" w:eastAsia="Arial"/>
                <w:b w:val="0"/>
                <w:i w:val="0"/>
                <w:color w:val="000000"/>
                <w:sz w:val="16"/>
              </w:rPr>
              <w:t>Treated</w:t>
            </w:r>
          </w:p>
        </w:tc>
        <w:tc>
          <w:tcPr>
            <w:tcW w:type="dxa" w:w="2232"/>
            <w:tcMar>
              <w:top w:w="80" w:type="dxa"/>
              <w:start w:w="110" w:type="dxa"/>
              <w:bottom w:w="80" w:type="dxa"/>
              <w:end w:w="110" w:type="dxa"/>
            </w:tcMar>
            <w:vAlign w:val="center"/>
          </w:tcPr>
          <w:p>
            <w:pPr>
              <w:spacing w:after="0"/>
            </w:pPr>
            <w:r>
              <w:rPr>
                <w:rFonts w:ascii="Arial" w:hAnsi="Arial" w:eastAsia="Arial"/>
                <w:b w:val="0"/>
                <w:i w:val="0"/>
                <w:color w:val="000000"/>
                <w:sz w:val="16"/>
              </w:rPr>
              <w:t>More deprived (IMD 1-3)</w:t>
            </w:r>
          </w:p>
        </w:tc>
        <w:tc>
          <w:tcPr>
            <w:tcW w:type="dxa" w:w="1008"/>
            <w:tcMar>
              <w:top w:w="80" w:type="dxa"/>
              <w:start w:w="110" w:type="dxa"/>
              <w:bottom w:w="80" w:type="dxa"/>
              <w:end w:w="110" w:type="dxa"/>
            </w:tcMar>
            <w:vAlign w:val="center"/>
          </w:tcPr>
          <w:p>
            <w:pPr>
              <w:spacing w:after="0"/>
            </w:pPr>
            <w:r>
              <w:rPr>
                <w:rFonts w:ascii="Arial" w:hAnsi="Arial" w:eastAsia="Arial"/>
                <w:b w:val="0"/>
                <w:i w:val="0"/>
                <w:color w:val="000000"/>
                <w:sz w:val="16"/>
              </w:rPr>
              <w:t>4</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77.7</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1.0</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16.1</w:t>
            </w:r>
          </w:p>
        </w:tc>
      </w:tr>
    </w:tbl>
    <w:p>
      <w:pPr>
        <w:spacing w:after="160" w:line="276" w:lineRule="auto"/>
      </w:pPr>
      <w:r>
        <w:rPr>
          <w:rFonts w:ascii="Arial" w:hAnsi="Arial" w:eastAsia="Arial"/>
          <w:b w:val="0"/>
          <w:i w:val="0"/>
          <w:color w:val="000000"/>
          <w:sz w:val="22"/>
        </w:rPr>
        <w:t>The descriptive equity table reinforces that deprived contexts are well represented, while affluent cases are limited mainly to 12f controls. This supports an equity-context discussion, not a robust deprivation-stratified causal estimate.</w:t>
      </w:r>
    </w:p>
    <w:p>
      <w:pPr>
        <w:spacing w:before="240" w:after="80"/>
      </w:pPr>
      <w:r>
        <w:rPr>
          <w:rFonts w:ascii="Arial" w:hAnsi="Arial" w:eastAsia="Arial"/>
          <w:b/>
          <w:i w:val="0"/>
          <w:color w:val="000000"/>
          <w:sz w:val="20"/>
        </w:rPr>
        <w:t>Figure 5. Mean daily counts by deprivation context.</w:t>
      </w:r>
    </w:p>
    <w:p>
      <w:r>
        <w:drawing>
          <wp:inline xmlns:a="http://schemas.openxmlformats.org/drawingml/2006/main" xmlns:pic="http://schemas.openxmlformats.org/drawingml/2006/picture">
            <wp:extent cx="5806440" cy="5225796"/>
            <wp:docPr id="5" name="Picture 5"/>
            <wp:cNvGraphicFramePr>
              <a:graphicFrameLocks noChangeAspect="1"/>
            </wp:cNvGraphicFramePr>
            <a:graphic>
              <a:graphicData uri="http://schemas.openxmlformats.org/drawingml/2006/picture">
                <pic:pic>
                  <pic:nvPicPr>
                    <pic:cNvPr id="0" name="deprivation_band_mean_counts.png"/>
                    <pic:cNvPicPr/>
                  </pic:nvPicPr>
                  <pic:blipFill>
                    <a:blip r:embed="rId13"/>
                    <a:stretch>
                      <a:fillRect/>
                    </a:stretch>
                  </pic:blipFill>
                  <pic:spPr>
                    <a:xfrm>
                      <a:off x="0" y="0"/>
                      <a:ext cx="5806440" cy="5225796"/>
                    </a:xfrm>
                    <a:prstGeom prst="rect"/>
                  </pic:spPr>
                </pic:pic>
              </a:graphicData>
            </a:graphic>
          </wp:inline>
        </w:drawing>
      </w:r>
    </w:p>
    <w:p>
      <w:pPr>
        <w:spacing w:before="360" w:after="120"/>
      </w:pPr>
      <w:r>
        <w:rPr>
          <w:rFonts w:ascii="Arial" w:hAnsi="Arial" w:eastAsia="Arial"/>
          <w:b w:val="0"/>
          <w:i w:val="0"/>
          <w:color w:val="000000"/>
          <w:sz w:val="38"/>
        </w:rPr>
        <w:t>7. Control-Site Quality Review</w:t>
      </w: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
        <w:gridCol w:w="6912"/>
        <w:gridCol w:w="1296"/>
      </w:tblGrid>
      <w:tr>
        <w:tc>
          <w:tcPr>
            <w:tcW w:type="dxa" w:w="3120"/>
            <w:shd w:fill="F1F3F4"/>
            <w:tcMar>
              <w:top w:w="80" w:type="dxa"/>
              <w:start w:w="110" w:type="dxa"/>
              <w:bottom w:w="80" w:type="dxa"/>
              <w:end w:w="110" w:type="dxa"/>
            </w:tcMar>
          </w:tcPr>
          <w:p>
            <w:r>
              <w:rPr>
                <w:rFonts w:ascii="Arial" w:hAnsi="Arial" w:eastAsia="Arial"/>
                <w:b/>
                <w:i w:val="0"/>
                <w:color w:val="000000"/>
                <w:sz w:val="17"/>
              </w:rPr>
              <w:t>Scheme</w:t>
            </w:r>
          </w:p>
        </w:tc>
        <w:tc>
          <w:tcPr>
            <w:tcW w:type="dxa" w:w="3120"/>
            <w:shd w:fill="F1F3F4"/>
            <w:tcMar>
              <w:top w:w="80" w:type="dxa"/>
              <w:start w:w="110" w:type="dxa"/>
              <w:bottom w:w="80" w:type="dxa"/>
              <w:end w:w="110" w:type="dxa"/>
            </w:tcMar>
          </w:tcPr>
          <w:p>
            <w:r>
              <w:rPr>
                <w:rFonts w:ascii="Arial" w:hAnsi="Arial" w:eastAsia="Arial"/>
                <w:b/>
                <w:i w:val="0"/>
                <w:color w:val="000000"/>
                <w:sz w:val="17"/>
              </w:rPr>
              <w:t>Control quality note</w:t>
            </w:r>
          </w:p>
        </w:tc>
        <w:tc>
          <w:tcPr>
            <w:tcW w:type="dxa" w:w="3120"/>
            <w:shd w:fill="F1F3F4"/>
            <w:tcMar>
              <w:top w:w="80" w:type="dxa"/>
              <w:start w:w="110" w:type="dxa"/>
              <w:bottom w:w="80" w:type="dxa"/>
              <w:end w:w="110" w:type="dxa"/>
            </w:tcMar>
          </w:tcPr>
          <w:p>
            <w:r>
              <w:rPr>
                <w:rFonts w:ascii="Arial" w:hAnsi="Arial" w:eastAsia="Arial"/>
                <w:b/>
                <w:i w:val="0"/>
                <w:color w:val="000000"/>
                <w:sz w:val="17"/>
              </w:rPr>
              <w:t>Countlines</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12d</w:t>
            </w:r>
          </w:p>
        </w:tc>
        <w:tc>
          <w:tcPr>
            <w:tcW w:type="dxa" w:w="6912"/>
            <w:tcMar>
              <w:top w:w="80" w:type="dxa"/>
              <w:start w:w="110" w:type="dxa"/>
              <w:bottom w:w="80" w:type="dxa"/>
              <w:end w:w="110" w:type="dxa"/>
            </w:tcMar>
            <w:vAlign w:val="center"/>
          </w:tcPr>
          <w:p>
            <w:pPr>
              <w:spacing w:after="0"/>
            </w:pPr>
            <w:r>
              <w:rPr>
                <w:rFonts w:ascii="Arial" w:hAnsi="Arial" w:eastAsia="Arial"/>
                <w:b w:val="0"/>
                <w:i w:val="0"/>
                <w:color w:val="000000"/>
                <w:sz w:val="16"/>
              </w:rPr>
              <w:t>descriptive only; do not use in causal models</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12</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12d</w:t>
            </w:r>
          </w:p>
        </w:tc>
        <w:tc>
          <w:tcPr>
            <w:tcW w:type="dxa" w:w="6912"/>
            <w:tcMar>
              <w:top w:w="80" w:type="dxa"/>
              <w:start w:w="110" w:type="dxa"/>
              <w:bottom w:w="80" w:type="dxa"/>
              <w:end w:w="110" w:type="dxa"/>
            </w:tcMar>
            <w:vAlign w:val="center"/>
          </w:tcPr>
          <w:p>
            <w:pPr>
              <w:spacing w:after="0"/>
            </w:pPr>
            <w:r>
              <w:rPr>
                <w:rFonts w:ascii="Arial" w:hAnsi="Arial" w:eastAsia="Arial"/>
                <w:b w:val="0"/>
                <w:i w:val="0"/>
                <w:color w:val="000000"/>
                <w:sz w:val="16"/>
              </w:rPr>
              <w:t>pragmatic exploratory control</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3</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12f</w:t>
            </w:r>
          </w:p>
        </w:tc>
        <w:tc>
          <w:tcPr>
            <w:tcW w:type="dxa" w:w="6912"/>
            <w:tcMar>
              <w:top w:w="80" w:type="dxa"/>
              <w:start w:w="110" w:type="dxa"/>
              <w:bottom w:w="80" w:type="dxa"/>
              <w:end w:w="110" w:type="dxa"/>
            </w:tcMar>
            <w:vAlign w:val="center"/>
          </w:tcPr>
          <w:p>
            <w:pPr>
              <w:spacing w:after="0"/>
            </w:pPr>
            <w:r>
              <w:rPr>
                <w:rFonts w:ascii="Arial" w:hAnsi="Arial" w:eastAsia="Arial"/>
                <w:b w:val="0"/>
                <w:i w:val="0"/>
                <w:color w:val="000000"/>
                <w:sz w:val="16"/>
              </w:rPr>
              <w:t>descriptive only; do not use in causal models</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1</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12f</w:t>
            </w:r>
          </w:p>
        </w:tc>
        <w:tc>
          <w:tcPr>
            <w:tcW w:type="dxa" w:w="6912"/>
            <w:tcMar>
              <w:top w:w="80" w:type="dxa"/>
              <w:start w:w="110" w:type="dxa"/>
              <w:bottom w:w="80" w:type="dxa"/>
              <w:end w:w="110" w:type="dxa"/>
            </w:tcMar>
            <w:vAlign w:val="center"/>
          </w:tcPr>
          <w:p>
            <w:pPr>
              <w:spacing w:after="0"/>
            </w:pPr>
            <w:r>
              <w:rPr>
                <w:rFonts w:ascii="Arial" w:hAnsi="Arial" w:eastAsia="Arial"/>
                <w:b w:val="0"/>
                <w:i w:val="0"/>
                <w:color w:val="000000"/>
                <w:sz w:val="16"/>
              </w:rPr>
              <w:t>pragmatic exploratory control</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3</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13</w:t>
            </w:r>
          </w:p>
        </w:tc>
        <w:tc>
          <w:tcPr>
            <w:tcW w:type="dxa" w:w="6912"/>
            <w:tcMar>
              <w:top w:w="80" w:type="dxa"/>
              <w:start w:w="110" w:type="dxa"/>
              <w:bottom w:w="80" w:type="dxa"/>
              <w:end w:w="110" w:type="dxa"/>
            </w:tcMar>
            <w:vAlign w:val="center"/>
          </w:tcPr>
          <w:p>
            <w:pPr>
              <w:spacing w:after="0"/>
            </w:pPr>
            <w:r>
              <w:rPr>
                <w:rFonts w:ascii="Arial" w:hAnsi="Arial" w:eastAsia="Arial"/>
                <w:b w:val="0"/>
                <w:i w:val="0"/>
                <w:color w:val="000000"/>
                <w:sz w:val="16"/>
              </w:rPr>
              <w:t>descriptive only; do not use in causal models</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8</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13</w:t>
            </w:r>
          </w:p>
        </w:tc>
        <w:tc>
          <w:tcPr>
            <w:tcW w:type="dxa" w:w="6912"/>
            <w:tcMar>
              <w:top w:w="80" w:type="dxa"/>
              <w:start w:w="110" w:type="dxa"/>
              <w:bottom w:w="80" w:type="dxa"/>
              <w:end w:w="110" w:type="dxa"/>
            </w:tcMar>
            <w:vAlign w:val="center"/>
          </w:tcPr>
          <w:p>
            <w:pPr>
              <w:spacing w:after="0"/>
            </w:pPr>
            <w:r>
              <w:rPr>
                <w:rFonts w:ascii="Arial" w:hAnsi="Arial" w:eastAsia="Arial"/>
                <w:b w:val="0"/>
                <w:i w:val="0"/>
                <w:color w:val="000000"/>
                <w:sz w:val="16"/>
              </w:rPr>
              <w:t>pragmatic exploratory control</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5</w:t>
            </w:r>
          </w:p>
        </w:tc>
      </w:tr>
      <w:tr>
        <w:tc>
          <w:tcPr>
            <w:tcW w:type="dxa" w:w="936"/>
            <w:tcMar>
              <w:top w:w="80" w:type="dxa"/>
              <w:start w:w="110" w:type="dxa"/>
              <w:bottom w:w="80" w:type="dxa"/>
              <w:end w:w="110" w:type="dxa"/>
            </w:tcMar>
            <w:vAlign w:val="center"/>
          </w:tcPr>
          <w:p>
            <w:pPr>
              <w:spacing w:after="0"/>
              <w:jc w:val="center"/>
            </w:pPr>
            <w:r>
              <w:rPr>
                <w:rFonts w:ascii="Arial" w:hAnsi="Arial" w:eastAsia="Arial"/>
                <w:b w:val="0"/>
                <w:i w:val="0"/>
                <w:color w:val="000000"/>
                <w:sz w:val="16"/>
              </w:rPr>
              <w:t>13</w:t>
            </w:r>
          </w:p>
        </w:tc>
        <w:tc>
          <w:tcPr>
            <w:tcW w:type="dxa" w:w="6912"/>
            <w:tcMar>
              <w:top w:w="80" w:type="dxa"/>
              <w:start w:w="110" w:type="dxa"/>
              <w:bottom w:w="80" w:type="dxa"/>
              <w:end w:w="110" w:type="dxa"/>
            </w:tcMar>
            <w:vAlign w:val="center"/>
          </w:tcPr>
          <w:p>
            <w:pPr>
              <w:spacing w:after="0"/>
            </w:pPr>
            <w:r>
              <w:rPr>
                <w:rFonts w:ascii="Arial" w:hAnsi="Arial" w:eastAsia="Arial"/>
                <w:b w:val="0"/>
                <w:i w:val="0"/>
                <w:color w:val="000000"/>
                <w:sz w:val="16"/>
              </w:rPr>
              <w:t>strict seasonal control</w:t>
            </w:r>
          </w:p>
        </w:tc>
        <w:tc>
          <w:tcPr>
            <w:tcW w:type="dxa" w:w="1296"/>
            <w:tcMar>
              <w:top w:w="80" w:type="dxa"/>
              <w:start w:w="110" w:type="dxa"/>
              <w:bottom w:w="80" w:type="dxa"/>
              <w:end w:w="110" w:type="dxa"/>
            </w:tcMar>
            <w:vAlign w:val="center"/>
          </w:tcPr>
          <w:p>
            <w:pPr>
              <w:spacing w:after="0"/>
            </w:pPr>
            <w:r>
              <w:rPr>
                <w:rFonts w:ascii="Arial" w:hAnsi="Arial" w:eastAsia="Arial"/>
                <w:b w:val="0"/>
                <w:i w:val="0"/>
                <w:color w:val="000000"/>
                <w:sz w:val="16"/>
              </w:rPr>
              <w:t>2</w:t>
            </w:r>
          </w:p>
        </w:tc>
      </w:tr>
    </w:tbl>
    <w:p>
      <w:pPr>
        <w:spacing w:after="160" w:line="276" w:lineRule="auto"/>
      </w:pPr>
      <w:r>
        <w:rPr>
          <w:rFonts w:ascii="Arial" w:hAnsi="Arial" w:eastAsia="Arial"/>
          <w:b w:val="0"/>
          <w:i w:val="0"/>
          <w:color w:val="000000"/>
          <w:sz w:val="22"/>
        </w:rPr>
        <w:t>The control review confirms that only a subset of downloaded controls should enter exploratory causal models. Most 12d and 13 controls are descriptive-only, and only two controls meet the strict seasonal threshold.</w:t>
      </w:r>
    </w:p>
    <w:p>
      <w:pPr>
        <w:spacing w:before="360" w:after="120"/>
      </w:pPr>
      <w:r>
        <w:rPr>
          <w:rFonts w:ascii="Arial" w:hAnsi="Arial" w:eastAsia="Arial"/>
          <w:b w:val="0"/>
          <w:i w:val="0"/>
          <w:color w:val="000000"/>
          <w:sz w:val="38"/>
        </w:rPr>
        <w:t>8. Sensitivity-Ready Summaries</w:t>
      </w:r>
    </w:p>
    <w:tbl>
      <w:tblPr>
        <w:tblW w:type="auto" w:w="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744"/>
        <w:gridCol w:w="3168"/>
        <w:gridCol w:w="1152"/>
      </w:tblGrid>
      <w:tr>
        <w:tc>
          <w:tcPr>
            <w:tcW w:type="dxa" w:w="3120"/>
            <w:shd w:fill="F1F3F4"/>
            <w:tcMar>
              <w:top w:w="80" w:type="dxa"/>
              <w:start w:w="110" w:type="dxa"/>
              <w:bottom w:w="80" w:type="dxa"/>
              <w:end w:w="110" w:type="dxa"/>
            </w:tcMar>
          </w:tcPr>
          <w:p>
            <w:r>
              <w:rPr>
                <w:rFonts w:ascii="Arial" w:hAnsi="Arial" w:eastAsia="Arial"/>
                <w:b/>
                <w:i w:val="0"/>
                <w:color w:val="000000"/>
                <w:sz w:val="17"/>
              </w:rPr>
              <w:t>Scenario</w:t>
            </w:r>
          </w:p>
        </w:tc>
        <w:tc>
          <w:tcPr>
            <w:tcW w:type="dxa" w:w="3120"/>
            <w:shd w:fill="F1F3F4"/>
            <w:tcMar>
              <w:top w:w="80" w:type="dxa"/>
              <w:start w:w="110" w:type="dxa"/>
              <w:bottom w:w="80" w:type="dxa"/>
              <w:end w:w="110" w:type="dxa"/>
            </w:tcMar>
          </w:tcPr>
          <w:p>
            <w:r>
              <w:rPr>
                <w:rFonts w:ascii="Arial" w:hAnsi="Arial" w:eastAsia="Arial"/>
                <w:b/>
                <w:i w:val="0"/>
                <w:color w:val="000000"/>
                <w:sz w:val="17"/>
              </w:rPr>
              <w:t>Status</w:t>
            </w:r>
          </w:p>
        </w:tc>
        <w:tc>
          <w:tcPr>
            <w:tcW w:type="dxa" w:w="3120"/>
            <w:shd w:fill="F1F3F4"/>
            <w:tcMar>
              <w:top w:w="80" w:type="dxa"/>
              <w:start w:w="110" w:type="dxa"/>
              <w:bottom w:w="80" w:type="dxa"/>
              <w:end w:w="110" w:type="dxa"/>
            </w:tcMar>
          </w:tcPr>
          <w:p>
            <w:r>
              <w:rPr>
                <w:rFonts w:ascii="Arial" w:hAnsi="Arial" w:eastAsia="Arial"/>
                <w:b/>
                <w:i w:val="0"/>
                <w:color w:val="000000"/>
                <w:sz w:val="17"/>
              </w:rPr>
              <w:t>Rows</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end_of_installation_month</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available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18</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end_of_installation_month</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no_post_followup</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6</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end_of_installation_month</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no_pre_baseline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15</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exclude_first_4_post_weeks</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available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18</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exclude_first_4_post_weeks</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no_post_followup</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6</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exclude_first_4_post_weeks</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no_pre_baseline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15</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exclude_first_8_post_weeks</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available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18</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exclude_first_8_post_weeks</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no_post_followup</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6</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exclude_first_8_post_weeks</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no_pre_baseline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15</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path_cycle_only</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available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3</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path_cycle_only</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no_post_followup</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21</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path_cycle_only</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no_pre_baseline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27</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road_only</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no_post_followup</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24</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road_only</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no_pre_baseline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33</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start_of_installation_month</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available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18</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start_of_installation_month</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no_post_followup</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6</w:t>
            </w:r>
          </w:p>
        </w:tc>
      </w:tr>
      <w:tr>
        <w:tc>
          <w:tcPr>
            <w:tcW w:type="dxa" w:w="3744"/>
            <w:tcMar>
              <w:top w:w="80" w:type="dxa"/>
              <w:start w:w="110" w:type="dxa"/>
              <w:bottom w:w="80" w:type="dxa"/>
              <w:end w:w="110" w:type="dxa"/>
            </w:tcMar>
            <w:vAlign w:val="center"/>
          </w:tcPr>
          <w:p>
            <w:pPr>
              <w:spacing w:after="0"/>
              <w:jc w:val="center"/>
            </w:pPr>
            <w:r>
              <w:rPr>
                <w:rFonts w:ascii="Arial" w:hAnsi="Arial" w:eastAsia="Arial"/>
                <w:b w:val="0"/>
                <w:i w:val="0"/>
                <w:color w:val="000000"/>
                <w:sz w:val="16"/>
              </w:rPr>
              <w:t>start_of_installation_month</w:t>
            </w:r>
          </w:p>
        </w:tc>
        <w:tc>
          <w:tcPr>
            <w:tcW w:type="dxa" w:w="3168"/>
            <w:tcMar>
              <w:top w:w="80" w:type="dxa"/>
              <w:start w:w="110" w:type="dxa"/>
              <w:bottom w:w="80" w:type="dxa"/>
              <w:end w:w="110" w:type="dxa"/>
            </w:tcMar>
            <w:vAlign w:val="center"/>
          </w:tcPr>
          <w:p>
            <w:pPr>
              <w:spacing w:after="0"/>
            </w:pPr>
            <w:r>
              <w:rPr>
                <w:rFonts w:ascii="Arial" w:hAnsi="Arial" w:eastAsia="Arial"/>
                <w:b w:val="0"/>
                <w:i w:val="0"/>
                <w:color w:val="000000"/>
                <w:sz w:val="16"/>
              </w:rPr>
              <w:t>no_pre_baseline</w:t>
            </w:r>
          </w:p>
        </w:tc>
        <w:tc>
          <w:tcPr>
            <w:tcW w:type="dxa" w:w="1152"/>
            <w:tcMar>
              <w:top w:w="80" w:type="dxa"/>
              <w:start w:w="110" w:type="dxa"/>
              <w:bottom w:w="80" w:type="dxa"/>
              <w:end w:w="110" w:type="dxa"/>
            </w:tcMar>
            <w:vAlign w:val="center"/>
          </w:tcPr>
          <w:p>
            <w:pPr>
              <w:spacing w:after="0"/>
            </w:pPr>
            <w:r>
              <w:rPr>
                <w:rFonts w:ascii="Arial" w:hAnsi="Arial" w:eastAsia="Arial"/>
                <w:b w:val="0"/>
                <w:i w:val="0"/>
                <w:color w:val="000000"/>
                <w:sz w:val="16"/>
              </w:rPr>
              <w:t>15</w:t>
            </w:r>
          </w:p>
        </w:tc>
      </w:tr>
    </w:tbl>
    <w:p>
      <w:pPr>
        <w:spacing w:after="160" w:line="276" w:lineRule="auto"/>
      </w:pPr>
      <w:r>
        <w:rPr>
          <w:rFonts w:ascii="Arial" w:hAnsi="Arial" w:eastAsia="Arial"/>
          <w:b w:val="0"/>
          <w:i w:val="0"/>
          <w:color w:val="000000"/>
          <w:sz w:val="22"/>
        </w:rPr>
        <w:t>The sensitivity-ready table shows which pre/post comparisons remain available under alternative assumptions. Date-shift and post-exclusion scenarios retain some available comparisons, while route-type-only scenarios often lose pre/post balance. This is useful for later robustness modelling but should not be treated as final causal evidence.</w:t>
      </w:r>
    </w:p>
    <w:p>
      <w:pPr>
        <w:spacing w:before="360" w:after="120"/>
      </w:pPr>
      <w:r>
        <w:rPr>
          <w:rFonts w:ascii="Arial" w:hAnsi="Arial" w:eastAsia="Arial"/>
          <w:b w:val="0"/>
          <w:i w:val="0"/>
          <w:color w:val="000000"/>
          <w:sz w:val="38"/>
        </w:rPr>
        <w:t>Conclusion</w:t>
      </w:r>
    </w:p>
    <w:p>
      <w:pPr>
        <w:pStyle w:val="ListBullet"/>
        <w:spacing w:after="80" w:line="276" w:lineRule="auto"/>
      </w:pPr>
      <w:r>
        <w:rPr>
          <w:rFonts w:ascii="Arial" w:hAnsi="Arial" w:eastAsia="Arial"/>
          <w:b w:val="0"/>
          <w:i w:val="0"/>
          <w:color w:val="000000"/>
          <w:sz w:val="22"/>
        </w:rPr>
        <w:t>Observed data analysis is now available for all five schemes.</w:t>
      </w:r>
    </w:p>
    <w:p>
      <w:pPr>
        <w:pStyle w:val="ListBullet"/>
        <w:spacing w:after="80" w:line="276" w:lineRule="auto"/>
      </w:pPr>
      <w:r>
        <w:rPr>
          <w:rFonts w:ascii="Arial" w:hAnsi="Arial" w:eastAsia="Arial"/>
          <w:b w:val="0"/>
          <w:i w:val="0"/>
          <w:color w:val="000000"/>
          <w:sz w:val="22"/>
        </w:rPr>
        <w:t>12b and 12e remain descriptive only because treated pre-baselines are unavailable.</w:t>
      </w:r>
    </w:p>
    <w:p>
      <w:pPr>
        <w:pStyle w:val="ListBullet"/>
        <w:spacing w:after="80" w:line="276" w:lineRule="auto"/>
      </w:pPr>
      <w:r>
        <w:rPr>
          <w:rFonts w:ascii="Arial" w:hAnsi="Arial" w:eastAsia="Arial"/>
          <w:b w:val="0"/>
          <w:i w:val="0"/>
          <w:color w:val="000000"/>
          <w:sz w:val="22"/>
        </w:rPr>
        <w:t>Mode-specific and route-type patterns show that combined active travel totals can obscure important differences.</w:t>
      </w:r>
    </w:p>
    <w:p>
      <w:pPr>
        <w:pStyle w:val="ListBullet"/>
        <w:spacing w:after="80" w:line="276" w:lineRule="auto"/>
      </w:pPr>
      <w:r>
        <w:rPr>
          <w:rFonts w:ascii="Arial" w:hAnsi="Arial" w:eastAsia="Arial"/>
          <w:b w:val="0"/>
          <w:i w:val="0"/>
          <w:color w:val="000000"/>
          <w:sz w:val="22"/>
        </w:rPr>
        <w:t>Seasonality and volatility justify the modelling choice to use weekly aggregation and seasonal controls.</w:t>
      </w:r>
    </w:p>
    <w:p>
      <w:pPr>
        <w:pStyle w:val="ListBullet"/>
        <w:spacing w:after="80" w:line="276" w:lineRule="auto"/>
      </w:pPr>
      <w:r>
        <w:rPr>
          <w:rFonts w:ascii="Arial" w:hAnsi="Arial" w:eastAsia="Arial"/>
          <w:b w:val="0"/>
          <w:i w:val="0"/>
          <w:color w:val="000000"/>
          <w:sz w:val="22"/>
        </w:rPr>
        <w:t>Equity-context analysis is meaningful descriptively, but the sample remains too unbalanced for strong deprivation-stratified causal claims.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