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b w:val="0"/>
          <w:color w:val="000000"/>
          <w:sz w:val="52"/>
        </w:rPr>
        <w:t>Results Draft: Vivacity Exploratory Models</w:t>
      </w:r>
    </w:p>
    <w:p>
      <w:pPr>
        <w:spacing w:after="240"/>
      </w:pPr>
      <w:r>
        <w:rPr>
          <w:rFonts w:ascii="Arial" w:hAnsi="Arial" w:eastAsia="Arial"/>
          <w:b w:val="0"/>
          <w:color w:val="555555"/>
          <w:sz w:val="22"/>
        </w:rPr>
        <w:t>Current interpretation for dissertation writing and supervisor discussion</w:t>
      </w:r>
    </w:p>
    <w:p>
      <w:pPr>
        <w:spacing w:before="400" w:after="120"/>
      </w:pPr>
      <w:r>
        <w:rPr>
          <w:rFonts w:ascii="Arial" w:hAnsi="Arial" w:eastAsia="Arial"/>
          <w:b w:val="0"/>
          <w:color w:val="000000"/>
          <w:sz w:val="40"/>
        </w:rPr>
        <w:t>Headline Conclusion</w:t>
      </w:r>
    </w:p>
    <w:p>
      <w:pPr>
        <w:spacing w:after="160" w:line="276" w:lineRule="auto"/>
      </w:pPr>
      <w:r>
        <w:rPr>
          <w:rFonts w:ascii="Arial" w:hAnsi="Arial" w:eastAsia="Arial"/>
          <w:b w:val="0"/>
          <w:color w:val="000000"/>
          <w:sz w:val="22"/>
        </w:rPr>
        <w:t>The current Vivacity evidence does not yet support a strong causal claim that the analysed active travel schemes produced clear increases in walking or cycling relative to matched controls. The exploratory models are more consistent with mixed and uncertain relative trajectories, with two negative slope terms statistically flagged: cyclist counts for scheme 12d and active travel counts for scheme 12f.</w:t>
      </w:r>
    </w:p>
    <w:p>
      <w:pPr>
        <w:spacing w:after="160" w:line="276" w:lineRule="auto"/>
      </w:pPr>
      <w:r>
        <w:rPr>
          <w:rFonts w:ascii="Arial" w:hAnsi="Arial" w:eastAsia="Arial"/>
          <w:b w:val="0"/>
          <w:color w:val="000000"/>
          <w:sz w:val="22"/>
        </w:rPr>
        <w:t>This should be written cautiously. The strongest dissertation wording is that the analysis tests whether treated sites diverged from matched non-intervention countlines, but the current evidence should be interpreted as exploratory because the existing outputs were generated before confirmed exact dates were encoded, and control locations still need manual intervention-exposure checks.</w:t>
      </w:r>
    </w:p>
    <w:p>
      <w:pPr>
        <w:spacing w:before="400" w:after="120"/>
      </w:pPr>
      <w:r>
        <w:rPr>
          <w:rFonts w:ascii="Arial" w:hAnsi="Arial" w:eastAsia="Arial"/>
          <w:b w:val="0"/>
          <w:color w:val="000000"/>
          <w:sz w:val="40"/>
        </w:rPr>
        <w:t>Analysis Base</w:t>
      </w:r>
    </w:p>
    <w:p>
      <w:pPr>
        <w:pStyle w:val="ListBullet"/>
        <w:spacing w:after="80" w:line="276" w:lineRule="auto"/>
      </w:pPr>
      <w:r>
        <w:rPr>
          <w:rFonts w:ascii="Arial" w:hAnsi="Arial" w:eastAsia="Arial"/>
          <w:b w:val="0"/>
          <w:color w:val="000000"/>
          <w:sz w:val="22"/>
        </w:rPr>
        <w:t>The integrity gate covered 55 countlines: 21 treated and 34 control countlines.</w:t>
      </w:r>
    </w:p>
    <w:p>
      <w:pPr>
        <w:pStyle w:val="ListBullet"/>
        <w:spacing w:after="80" w:line="276" w:lineRule="auto"/>
      </w:pPr>
      <w:r>
        <w:rPr>
          <w:rFonts w:ascii="Arial" w:hAnsi="Arial" w:eastAsia="Arial"/>
          <w:b w:val="0"/>
          <w:color w:val="000000"/>
          <w:sz w:val="22"/>
        </w:rPr>
        <w:t>Thirteen controls met the pragmatic causal threshold; two met the stricter seasonal threshold.</w:t>
      </w:r>
    </w:p>
    <w:p>
      <w:pPr>
        <w:pStyle w:val="ListBullet"/>
        <w:spacing w:after="80" w:line="276" w:lineRule="auto"/>
      </w:pPr>
      <w:r>
        <w:rPr>
          <w:rFonts w:ascii="Arial" w:hAnsi="Arial" w:eastAsia="Arial"/>
          <w:b w:val="0"/>
          <w:color w:val="000000"/>
          <w:sz w:val="22"/>
        </w:rPr>
        <w:t>The final exploratory models were fitted only for schemes 12d, 12f, and 13.</w:t>
      </w:r>
    </w:p>
    <w:p>
      <w:pPr>
        <w:pStyle w:val="ListBullet"/>
        <w:spacing w:after="80" w:line="276" w:lineRule="auto"/>
      </w:pPr>
      <w:r>
        <w:rPr>
          <w:rFonts w:ascii="Arial" w:hAnsi="Arial" w:eastAsia="Arial"/>
          <w:b w:val="0"/>
          <w:color w:val="000000"/>
          <w:sz w:val="22"/>
        </w:rPr>
        <w:t>Schemes 12b and 12e were retained for descriptive analysis in the previous outputs; this should be rechecked using confirmed exact dates.</w:t>
      </w:r>
    </w:p>
    <w:tbl>
      <w:tblPr>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080"/>
        <w:gridCol w:w="1800"/>
        <w:gridCol w:w="1512"/>
        <w:gridCol w:w="1512"/>
        <w:gridCol w:w="1512"/>
        <w:gridCol w:w="1584"/>
        <w:gridCol w:w="1584"/>
      </w:tblGrid>
      <w:tr>
        <w:tc>
          <w:tcPr>
            <w:tcW w:type="dxa" w:w="1337"/>
            <w:shd w:fill="F1F3F4"/>
            <w:tcMar>
              <w:top w:w="80" w:type="dxa"/>
              <w:start w:w="120" w:type="dxa"/>
              <w:bottom w:w="80" w:type="dxa"/>
              <w:end w:w="120" w:type="dxa"/>
            </w:tcMar>
          </w:tcPr>
          <w:p>
            <w:r>
              <w:rPr>
                <w:rFonts w:ascii="Arial" w:hAnsi="Arial" w:eastAsia="Arial"/>
                <w:b/>
                <w:color w:val="000000"/>
                <w:sz w:val="18"/>
              </w:rPr>
              <w:t>Scheme</w:t>
            </w:r>
          </w:p>
        </w:tc>
        <w:tc>
          <w:tcPr>
            <w:tcW w:type="dxa" w:w="1337"/>
            <w:shd w:fill="F1F3F4"/>
            <w:tcMar>
              <w:top w:w="80" w:type="dxa"/>
              <w:start w:w="120" w:type="dxa"/>
              <w:bottom w:w="80" w:type="dxa"/>
              <w:end w:w="120" w:type="dxa"/>
            </w:tcMar>
          </w:tcPr>
          <w:p>
            <w:r>
              <w:rPr>
                <w:rFonts w:ascii="Arial" w:hAnsi="Arial" w:eastAsia="Arial"/>
                <w:b/>
                <w:color w:val="000000"/>
                <w:sz w:val="18"/>
              </w:rPr>
              <w:t>Date range</w:t>
            </w:r>
          </w:p>
        </w:tc>
        <w:tc>
          <w:tcPr>
            <w:tcW w:type="dxa" w:w="1337"/>
            <w:shd w:fill="F1F3F4"/>
            <w:tcMar>
              <w:top w:w="80" w:type="dxa"/>
              <w:start w:w="120" w:type="dxa"/>
              <w:bottom w:w="80" w:type="dxa"/>
              <w:end w:w="120" w:type="dxa"/>
            </w:tcMar>
          </w:tcPr>
          <w:p>
            <w:r>
              <w:rPr>
                <w:rFonts w:ascii="Arial" w:hAnsi="Arial" w:eastAsia="Arial"/>
                <w:b/>
                <w:color w:val="000000"/>
                <w:sz w:val="18"/>
              </w:rPr>
              <w:t>Rows</w:t>
            </w:r>
          </w:p>
        </w:tc>
        <w:tc>
          <w:tcPr>
            <w:tcW w:type="dxa" w:w="1337"/>
            <w:shd w:fill="F1F3F4"/>
            <w:tcMar>
              <w:top w:w="80" w:type="dxa"/>
              <w:start w:w="120" w:type="dxa"/>
              <w:bottom w:w="80" w:type="dxa"/>
              <w:end w:w="120" w:type="dxa"/>
            </w:tcMar>
          </w:tcPr>
          <w:p>
            <w:r>
              <w:rPr>
                <w:rFonts w:ascii="Arial" w:hAnsi="Arial" w:eastAsia="Arial"/>
                <w:b/>
                <w:color w:val="000000"/>
                <w:sz w:val="18"/>
              </w:rPr>
              <w:t>Countlines</w:t>
            </w:r>
          </w:p>
        </w:tc>
        <w:tc>
          <w:tcPr>
            <w:tcW w:type="dxa" w:w="1337"/>
            <w:shd w:fill="F1F3F4"/>
            <w:tcMar>
              <w:top w:w="80" w:type="dxa"/>
              <w:start w:w="120" w:type="dxa"/>
              <w:bottom w:w="80" w:type="dxa"/>
              <w:end w:w="120" w:type="dxa"/>
            </w:tcMar>
          </w:tcPr>
          <w:p>
            <w:r>
              <w:rPr>
                <w:rFonts w:ascii="Arial" w:hAnsi="Arial" w:eastAsia="Arial"/>
                <w:b/>
                <w:color w:val="000000"/>
                <w:sz w:val="18"/>
              </w:rPr>
              <w:t>Treated</w:t>
            </w:r>
          </w:p>
        </w:tc>
        <w:tc>
          <w:tcPr>
            <w:tcW w:type="dxa" w:w="1337"/>
            <w:shd w:fill="F1F3F4"/>
            <w:tcMar>
              <w:top w:w="80" w:type="dxa"/>
              <w:start w:w="120" w:type="dxa"/>
              <w:bottom w:w="80" w:type="dxa"/>
              <w:end w:w="120" w:type="dxa"/>
            </w:tcMar>
          </w:tcPr>
          <w:p>
            <w:r>
              <w:rPr>
                <w:rFonts w:ascii="Arial" w:hAnsi="Arial" w:eastAsia="Arial"/>
                <w:b/>
                <w:color w:val="000000"/>
                <w:sz w:val="18"/>
              </w:rPr>
              <w:t>Controls</w:t>
            </w:r>
          </w:p>
        </w:tc>
        <w:tc>
          <w:tcPr>
            <w:tcW w:type="dxa" w:w="1337"/>
            <w:shd w:fill="F1F3F4"/>
            <w:tcMar>
              <w:top w:w="80" w:type="dxa"/>
              <w:start w:w="120" w:type="dxa"/>
              <w:bottom w:w="80" w:type="dxa"/>
              <w:end w:w="120" w:type="dxa"/>
            </w:tcMar>
          </w:tcPr>
          <w:p>
            <w:r>
              <w:rPr>
                <w:rFonts w:ascii="Arial" w:hAnsi="Arial" w:eastAsia="Arial"/>
                <w:b/>
                <w:color w:val="000000"/>
                <w:sz w:val="18"/>
              </w:rPr>
              <w:t>Intervention</w:t>
            </w:r>
          </w:p>
        </w:tc>
      </w:tr>
      <w:tr>
        <w:tc>
          <w:tcPr>
            <w:tcW w:type="dxa" w:w="1080"/>
            <w:tcMar>
              <w:top w:w="80" w:type="dxa"/>
              <w:start w:w="120" w:type="dxa"/>
              <w:bottom w:w="80" w:type="dxa"/>
              <w:end w:w="120" w:type="dxa"/>
            </w:tcMar>
            <w:vAlign w:val="center"/>
          </w:tcPr>
          <w:p>
            <w:pPr>
              <w:spacing w:after="0"/>
              <w:jc w:val="center"/>
            </w:pPr>
            <w:r>
              <w:rPr>
                <w:rFonts w:ascii="Arial" w:hAnsi="Arial" w:eastAsia="Arial"/>
                <w:b w:val="0"/>
                <w:color w:val="000000"/>
                <w:sz w:val="17"/>
              </w:rPr>
              <w:t>12d</w:t>
            </w:r>
          </w:p>
        </w:tc>
        <w:tc>
          <w:tcPr>
            <w:tcW w:type="dxa" w:w="1800"/>
            <w:tcMar>
              <w:top w:w="80" w:type="dxa"/>
              <w:start w:w="120" w:type="dxa"/>
              <w:bottom w:w="80" w:type="dxa"/>
              <w:end w:w="120" w:type="dxa"/>
            </w:tcMar>
            <w:vAlign w:val="center"/>
          </w:tcPr>
          <w:p>
            <w:pPr>
              <w:spacing w:after="0"/>
            </w:pPr>
            <w:r>
              <w:rPr>
                <w:rFonts w:ascii="Arial" w:hAnsi="Arial" w:eastAsia="Arial"/>
                <w:b w:val="0"/>
                <w:color w:val="000000"/>
                <w:sz w:val="17"/>
              </w:rPr>
              <w:t>2022-11-14 to 2026-05-25</w:t>
            </w:r>
          </w:p>
        </w:tc>
        <w:tc>
          <w:tcPr>
            <w:tcW w:type="dxa" w:w="1512"/>
            <w:tcMar>
              <w:top w:w="80" w:type="dxa"/>
              <w:start w:w="120" w:type="dxa"/>
              <w:bottom w:w="80" w:type="dxa"/>
              <w:end w:w="120" w:type="dxa"/>
            </w:tcMar>
            <w:vAlign w:val="center"/>
          </w:tcPr>
          <w:p>
            <w:pPr>
              <w:spacing w:after="0"/>
              <w:jc w:val="center"/>
            </w:pPr>
            <w:r>
              <w:rPr>
                <w:rFonts w:ascii="Arial" w:hAnsi="Arial" w:eastAsia="Arial"/>
                <w:b w:val="0"/>
                <w:color w:val="000000"/>
                <w:sz w:val="17"/>
              </w:rPr>
              <w:t>1428</w:t>
            </w:r>
          </w:p>
        </w:tc>
        <w:tc>
          <w:tcPr>
            <w:tcW w:type="dxa" w:w="1512"/>
            <w:tcMar>
              <w:top w:w="80" w:type="dxa"/>
              <w:start w:w="120" w:type="dxa"/>
              <w:bottom w:w="80" w:type="dxa"/>
              <w:end w:w="120" w:type="dxa"/>
            </w:tcMar>
            <w:vAlign w:val="center"/>
          </w:tcPr>
          <w:p>
            <w:pPr>
              <w:spacing w:after="0"/>
              <w:jc w:val="center"/>
            </w:pPr>
            <w:r>
              <w:rPr>
                <w:rFonts w:ascii="Arial" w:hAnsi="Arial" w:eastAsia="Arial"/>
                <w:b w:val="0"/>
                <w:color w:val="000000"/>
                <w:sz w:val="17"/>
              </w:rPr>
              <w:t>8</w:t>
            </w:r>
          </w:p>
        </w:tc>
        <w:tc>
          <w:tcPr>
            <w:tcW w:type="dxa" w:w="1512"/>
            <w:tcMar>
              <w:top w:w="80" w:type="dxa"/>
              <w:start w:w="120" w:type="dxa"/>
              <w:bottom w:w="80" w:type="dxa"/>
              <w:end w:w="120" w:type="dxa"/>
            </w:tcMar>
            <w:vAlign w:val="center"/>
          </w:tcPr>
          <w:p>
            <w:pPr>
              <w:spacing w:after="0"/>
              <w:jc w:val="center"/>
            </w:pPr>
            <w:r>
              <w:rPr>
                <w:rFonts w:ascii="Arial" w:hAnsi="Arial" w:eastAsia="Arial"/>
                <w:b w:val="0"/>
                <w:color w:val="000000"/>
                <w:sz w:val="17"/>
              </w:rPr>
              <w:t>5</w:t>
            </w:r>
          </w:p>
        </w:tc>
        <w:tc>
          <w:tcPr>
            <w:tcW w:type="dxa" w:w="1584"/>
            <w:tcMar>
              <w:top w:w="80" w:type="dxa"/>
              <w:start w:w="120" w:type="dxa"/>
              <w:bottom w:w="80" w:type="dxa"/>
              <w:end w:w="120" w:type="dxa"/>
            </w:tcMar>
            <w:vAlign w:val="center"/>
          </w:tcPr>
          <w:p>
            <w:pPr>
              <w:spacing w:after="0"/>
              <w:jc w:val="center"/>
            </w:pPr>
            <w:r>
              <w:rPr>
                <w:rFonts w:ascii="Arial" w:hAnsi="Arial" w:eastAsia="Arial"/>
                <w:b w:val="0"/>
                <w:color w:val="000000"/>
                <w:sz w:val="17"/>
              </w:rPr>
              <w:t>3</w:t>
            </w:r>
          </w:p>
        </w:tc>
        <w:tc>
          <w:tcPr>
            <w:tcW w:type="dxa" w:w="1584"/>
            <w:tcMar>
              <w:top w:w="80" w:type="dxa"/>
              <w:start w:w="120" w:type="dxa"/>
              <w:bottom w:w="80" w:type="dxa"/>
              <w:end w:w="120" w:type="dxa"/>
            </w:tcMar>
            <w:vAlign w:val="center"/>
          </w:tcPr>
          <w:p>
            <w:pPr>
              <w:spacing w:after="0"/>
              <w:jc w:val="center"/>
            </w:pPr>
            <w:r>
              <w:rPr>
                <w:rFonts w:ascii="Arial" w:hAnsi="Arial" w:eastAsia="Arial"/>
                <w:b w:val="0"/>
                <w:color w:val="000000"/>
                <w:sz w:val="17"/>
              </w:rPr>
              <w:t>2023-03-01</w:t>
            </w:r>
          </w:p>
        </w:tc>
      </w:tr>
      <w:tr>
        <w:tc>
          <w:tcPr>
            <w:tcW w:type="dxa" w:w="1080"/>
            <w:tcMar>
              <w:top w:w="80" w:type="dxa"/>
              <w:start w:w="120" w:type="dxa"/>
              <w:bottom w:w="80" w:type="dxa"/>
              <w:end w:w="120" w:type="dxa"/>
            </w:tcMar>
            <w:vAlign w:val="center"/>
          </w:tcPr>
          <w:p>
            <w:pPr>
              <w:spacing w:after="0"/>
              <w:jc w:val="center"/>
            </w:pPr>
            <w:r>
              <w:rPr>
                <w:rFonts w:ascii="Arial" w:hAnsi="Arial" w:eastAsia="Arial"/>
                <w:b w:val="0"/>
                <w:color w:val="000000"/>
                <w:sz w:val="17"/>
              </w:rPr>
              <w:t>12f</w:t>
            </w:r>
          </w:p>
        </w:tc>
        <w:tc>
          <w:tcPr>
            <w:tcW w:type="dxa" w:w="1800"/>
            <w:tcMar>
              <w:top w:w="80" w:type="dxa"/>
              <w:start w:w="120" w:type="dxa"/>
              <w:bottom w:w="80" w:type="dxa"/>
              <w:end w:w="120" w:type="dxa"/>
            </w:tcMar>
            <w:vAlign w:val="center"/>
          </w:tcPr>
          <w:p>
            <w:pPr>
              <w:spacing w:after="0"/>
            </w:pPr>
            <w:r>
              <w:rPr>
                <w:rFonts w:ascii="Arial" w:hAnsi="Arial" w:eastAsia="Arial"/>
                <w:b w:val="0"/>
                <w:color w:val="000000"/>
                <w:sz w:val="17"/>
              </w:rPr>
              <w:t>2022-11-14 to 2026-05-25</w:t>
            </w:r>
          </w:p>
        </w:tc>
        <w:tc>
          <w:tcPr>
            <w:tcW w:type="dxa" w:w="1512"/>
            <w:tcMar>
              <w:top w:w="80" w:type="dxa"/>
              <w:start w:w="120" w:type="dxa"/>
              <w:bottom w:w="80" w:type="dxa"/>
              <w:end w:w="120" w:type="dxa"/>
            </w:tcMar>
            <w:vAlign w:val="center"/>
          </w:tcPr>
          <w:p>
            <w:pPr>
              <w:spacing w:after="0"/>
              <w:jc w:val="center"/>
            </w:pPr>
            <w:r>
              <w:rPr>
                <w:rFonts w:ascii="Arial" w:hAnsi="Arial" w:eastAsia="Arial"/>
                <w:b w:val="0"/>
                <w:color w:val="000000"/>
                <w:sz w:val="17"/>
              </w:rPr>
              <w:t>1110</w:t>
            </w:r>
          </w:p>
        </w:tc>
        <w:tc>
          <w:tcPr>
            <w:tcW w:type="dxa" w:w="1512"/>
            <w:tcMar>
              <w:top w:w="80" w:type="dxa"/>
              <w:start w:w="120" w:type="dxa"/>
              <w:bottom w:w="80" w:type="dxa"/>
              <w:end w:w="120" w:type="dxa"/>
            </w:tcMar>
            <w:vAlign w:val="center"/>
          </w:tcPr>
          <w:p>
            <w:pPr>
              <w:spacing w:after="0"/>
              <w:jc w:val="center"/>
            </w:pPr>
            <w:r>
              <w:rPr>
                <w:rFonts w:ascii="Arial" w:hAnsi="Arial" w:eastAsia="Arial"/>
                <w:b w:val="0"/>
                <w:color w:val="000000"/>
                <w:sz w:val="17"/>
              </w:rPr>
              <w:t>6</w:t>
            </w:r>
          </w:p>
        </w:tc>
        <w:tc>
          <w:tcPr>
            <w:tcW w:type="dxa" w:w="1512"/>
            <w:tcMar>
              <w:top w:w="80" w:type="dxa"/>
              <w:start w:w="120" w:type="dxa"/>
              <w:bottom w:w="80" w:type="dxa"/>
              <w:end w:w="120" w:type="dxa"/>
            </w:tcMar>
            <w:vAlign w:val="center"/>
          </w:tcPr>
          <w:p>
            <w:pPr>
              <w:spacing w:after="0"/>
              <w:jc w:val="center"/>
            </w:pPr>
            <w:r>
              <w:rPr>
                <w:rFonts w:ascii="Arial" w:hAnsi="Arial" w:eastAsia="Arial"/>
                <w:b w:val="0"/>
                <w:color w:val="000000"/>
                <w:sz w:val="17"/>
              </w:rPr>
              <w:t>3</w:t>
            </w:r>
          </w:p>
        </w:tc>
        <w:tc>
          <w:tcPr>
            <w:tcW w:type="dxa" w:w="1584"/>
            <w:tcMar>
              <w:top w:w="80" w:type="dxa"/>
              <w:start w:w="120" w:type="dxa"/>
              <w:bottom w:w="80" w:type="dxa"/>
              <w:end w:w="120" w:type="dxa"/>
            </w:tcMar>
            <w:vAlign w:val="center"/>
          </w:tcPr>
          <w:p>
            <w:pPr>
              <w:spacing w:after="0"/>
              <w:jc w:val="center"/>
            </w:pPr>
            <w:r>
              <w:rPr>
                <w:rFonts w:ascii="Arial" w:hAnsi="Arial" w:eastAsia="Arial"/>
                <w:b w:val="0"/>
                <w:color w:val="000000"/>
                <w:sz w:val="17"/>
              </w:rPr>
              <w:t>3</w:t>
            </w:r>
          </w:p>
        </w:tc>
        <w:tc>
          <w:tcPr>
            <w:tcW w:type="dxa" w:w="1584"/>
            <w:tcMar>
              <w:top w:w="80" w:type="dxa"/>
              <w:start w:w="120" w:type="dxa"/>
              <w:bottom w:w="80" w:type="dxa"/>
              <w:end w:w="120" w:type="dxa"/>
            </w:tcMar>
            <w:vAlign w:val="center"/>
          </w:tcPr>
          <w:p>
            <w:pPr>
              <w:spacing w:after="0"/>
              <w:jc w:val="center"/>
            </w:pPr>
            <w:r>
              <w:rPr>
                <w:rFonts w:ascii="Arial" w:hAnsi="Arial" w:eastAsia="Arial"/>
                <w:b w:val="0"/>
                <w:color w:val="000000"/>
                <w:sz w:val="17"/>
              </w:rPr>
              <w:t>2023-06-01</w:t>
            </w:r>
          </w:p>
        </w:tc>
      </w:tr>
      <w:tr>
        <w:tc>
          <w:tcPr>
            <w:tcW w:type="dxa" w:w="1080"/>
            <w:tcMar>
              <w:top w:w="80" w:type="dxa"/>
              <w:start w:w="120" w:type="dxa"/>
              <w:bottom w:w="80" w:type="dxa"/>
              <w:end w:w="120" w:type="dxa"/>
            </w:tcMar>
            <w:vAlign w:val="center"/>
          </w:tcPr>
          <w:p>
            <w:pPr>
              <w:spacing w:after="0"/>
              <w:jc w:val="center"/>
            </w:pPr>
            <w:r>
              <w:rPr>
                <w:rFonts w:ascii="Arial" w:hAnsi="Arial" w:eastAsia="Arial"/>
                <w:b w:val="0"/>
                <w:color w:val="000000"/>
                <w:sz w:val="17"/>
              </w:rPr>
              <w:t>13</w:t>
            </w:r>
          </w:p>
        </w:tc>
        <w:tc>
          <w:tcPr>
            <w:tcW w:type="dxa" w:w="1800"/>
            <w:tcMar>
              <w:top w:w="80" w:type="dxa"/>
              <w:start w:w="120" w:type="dxa"/>
              <w:bottom w:w="80" w:type="dxa"/>
              <w:end w:w="120" w:type="dxa"/>
            </w:tcMar>
            <w:vAlign w:val="center"/>
          </w:tcPr>
          <w:p>
            <w:pPr>
              <w:spacing w:after="0"/>
            </w:pPr>
            <w:r>
              <w:rPr>
                <w:rFonts w:ascii="Arial" w:hAnsi="Arial" w:eastAsia="Arial"/>
                <w:b w:val="0"/>
                <w:color w:val="000000"/>
                <w:sz w:val="17"/>
              </w:rPr>
              <w:t>2022-11-14 to 2026-05-25</w:t>
            </w:r>
          </w:p>
        </w:tc>
        <w:tc>
          <w:tcPr>
            <w:tcW w:type="dxa" w:w="1512"/>
            <w:tcMar>
              <w:top w:w="80" w:type="dxa"/>
              <w:start w:w="120" w:type="dxa"/>
              <w:bottom w:w="80" w:type="dxa"/>
              <w:end w:w="120" w:type="dxa"/>
            </w:tcMar>
            <w:vAlign w:val="center"/>
          </w:tcPr>
          <w:p>
            <w:pPr>
              <w:spacing w:after="0"/>
              <w:jc w:val="center"/>
            </w:pPr>
            <w:r>
              <w:rPr>
                <w:rFonts w:ascii="Arial" w:hAnsi="Arial" w:eastAsia="Arial"/>
                <w:b w:val="0"/>
                <w:color w:val="000000"/>
                <w:sz w:val="17"/>
              </w:rPr>
              <w:t>1662</w:t>
            </w:r>
          </w:p>
        </w:tc>
        <w:tc>
          <w:tcPr>
            <w:tcW w:type="dxa" w:w="1512"/>
            <w:tcMar>
              <w:top w:w="80" w:type="dxa"/>
              <w:start w:w="120" w:type="dxa"/>
              <w:bottom w:w="80" w:type="dxa"/>
              <w:end w:w="120" w:type="dxa"/>
            </w:tcMar>
            <w:vAlign w:val="center"/>
          </w:tcPr>
          <w:p>
            <w:pPr>
              <w:spacing w:after="0"/>
              <w:jc w:val="center"/>
            </w:pPr>
            <w:r>
              <w:rPr>
                <w:rFonts w:ascii="Arial" w:hAnsi="Arial" w:eastAsia="Arial"/>
                <w:b w:val="0"/>
                <w:color w:val="000000"/>
                <w:sz w:val="17"/>
              </w:rPr>
              <w:t>11</w:t>
            </w:r>
          </w:p>
        </w:tc>
        <w:tc>
          <w:tcPr>
            <w:tcW w:type="dxa" w:w="1512"/>
            <w:tcMar>
              <w:top w:w="80" w:type="dxa"/>
              <w:start w:w="120" w:type="dxa"/>
              <w:bottom w:w="80" w:type="dxa"/>
              <w:end w:w="120" w:type="dxa"/>
            </w:tcMar>
            <w:vAlign w:val="center"/>
          </w:tcPr>
          <w:p>
            <w:pPr>
              <w:spacing w:after="0"/>
              <w:jc w:val="center"/>
            </w:pPr>
            <w:r>
              <w:rPr>
                <w:rFonts w:ascii="Arial" w:hAnsi="Arial" w:eastAsia="Arial"/>
                <w:b w:val="0"/>
                <w:color w:val="000000"/>
                <w:sz w:val="17"/>
              </w:rPr>
              <w:t>4</w:t>
            </w:r>
          </w:p>
        </w:tc>
        <w:tc>
          <w:tcPr>
            <w:tcW w:type="dxa" w:w="1584"/>
            <w:tcMar>
              <w:top w:w="80" w:type="dxa"/>
              <w:start w:w="120" w:type="dxa"/>
              <w:bottom w:w="80" w:type="dxa"/>
              <w:end w:w="120" w:type="dxa"/>
            </w:tcMar>
            <w:vAlign w:val="center"/>
          </w:tcPr>
          <w:p>
            <w:pPr>
              <w:spacing w:after="0"/>
              <w:jc w:val="center"/>
            </w:pPr>
            <w:r>
              <w:rPr>
                <w:rFonts w:ascii="Arial" w:hAnsi="Arial" w:eastAsia="Arial"/>
                <w:b w:val="0"/>
                <w:color w:val="000000"/>
                <w:sz w:val="17"/>
              </w:rPr>
              <w:t>7</w:t>
            </w:r>
          </w:p>
        </w:tc>
        <w:tc>
          <w:tcPr>
            <w:tcW w:type="dxa" w:w="1584"/>
            <w:tcMar>
              <w:top w:w="80" w:type="dxa"/>
              <w:start w:w="120" w:type="dxa"/>
              <w:bottom w:w="80" w:type="dxa"/>
              <w:end w:w="120" w:type="dxa"/>
            </w:tcMar>
            <w:vAlign w:val="center"/>
          </w:tcPr>
          <w:p>
            <w:pPr>
              <w:spacing w:after="0"/>
              <w:jc w:val="center"/>
            </w:pPr>
            <w:r>
              <w:rPr>
                <w:rFonts w:ascii="Arial" w:hAnsi="Arial" w:eastAsia="Arial"/>
                <w:b w:val="0"/>
                <w:color w:val="000000"/>
                <w:sz w:val="17"/>
              </w:rPr>
              <w:t>2024-03-01</w:t>
            </w:r>
          </w:p>
        </w:tc>
      </w:tr>
    </w:tbl>
    <w:p>
      <w:pPr>
        <w:spacing w:before="400" w:after="120"/>
      </w:pPr>
      <w:r>
        <w:rPr>
          <w:rFonts w:ascii="Arial" w:hAnsi="Arial" w:eastAsia="Arial"/>
          <w:b w:val="0"/>
          <w:color w:val="000000"/>
          <w:sz w:val="40"/>
        </w:rPr>
        <w:t>Model Results</w:t>
      </w:r>
    </w:p>
    <w:p>
      <w:pPr>
        <w:spacing w:after="160" w:line="276" w:lineRule="auto"/>
      </w:pPr>
      <w:r>
        <w:rPr>
          <w:rFonts w:ascii="Arial" w:hAnsi="Arial" w:eastAsia="Arial"/>
          <w:b w:val="0"/>
          <w:color w:val="000000"/>
          <w:sz w:val="22"/>
        </w:rPr>
        <w:t>The table reports the two treated-control terms that matter most for interpretation: the immediate post-intervention relative level change and the additional treated-control weekly slope change after intervention. Percent changes are on the modelled log scale transformed back to relative percentage differences.</w:t>
      </w:r>
    </w:p>
    <w:tbl>
      <w:tblPr>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893"/>
        <w:gridCol w:w="1512"/>
        <w:gridCol w:w="1944"/>
        <w:gridCol w:w="1037"/>
        <w:gridCol w:w="1944"/>
        <w:gridCol w:w="1987"/>
      </w:tblGrid>
      <w:tr>
        <w:tc>
          <w:tcPr>
            <w:tcW w:type="dxa" w:w="1560"/>
            <w:shd w:fill="F1F3F4"/>
            <w:tcMar>
              <w:top w:w="80" w:type="dxa"/>
              <w:start w:w="120" w:type="dxa"/>
              <w:bottom w:w="80" w:type="dxa"/>
              <w:end w:w="120" w:type="dxa"/>
            </w:tcMar>
          </w:tcPr>
          <w:p>
            <w:r>
              <w:rPr>
                <w:rFonts w:ascii="Arial" w:hAnsi="Arial" w:eastAsia="Arial"/>
                <w:b/>
                <w:color w:val="000000"/>
                <w:sz w:val="18"/>
              </w:rPr>
              <w:t>Scheme</w:t>
            </w:r>
          </w:p>
        </w:tc>
        <w:tc>
          <w:tcPr>
            <w:tcW w:type="dxa" w:w="1560"/>
            <w:shd w:fill="F1F3F4"/>
            <w:tcMar>
              <w:top w:w="80" w:type="dxa"/>
              <w:start w:w="120" w:type="dxa"/>
              <w:bottom w:w="80" w:type="dxa"/>
              <w:end w:w="120" w:type="dxa"/>
            </w:tcMar>
          </w:tcPr>
          <w:p>
            <w:r>
              <w:rPr>
                <w:rFonts w:ascii="Arial" w:hAnsi="Arial" w:eastAsia="Arial"/>
                <w:b/>
                <w:color w:val="000000"/>
                <w:sz w:val="18"/>
              </w:rPr>
              <w:t>Outcome</w:t>
            </w:r>
          </w:p>
        </w:tc>
        <w:tc>
          <w:tcPr>
            <w:tcW w:type="dxa" w:w="1560"/>
            <w:shd w:fill="F1F3F4"/>
            <w:tcMar>
              <w:top w:w="80" w:type="dxa"/>
              <w:start w:w="120" w:type="dxa"/>
              <w:bottom w:w="80" w:type="dxa"/>
              <w:end w:w="120" w:type="dxa"/>
            </w:tcMar>
          </w:tcPr>
          <w:p>
            <w:r>
              <w:rPr>
                <w:rFonts w:ascii="Arial" w:hAnsi="Arial" w:eastAsia="Arial"/>
                <w:b/>
                <w:color w:val="000000"/>
                <w:sz w:val="18"/>
              </w:rPr>
              <w:t>Immediate change</w:t>
            </w:r>
          </w:p>
        </w:tc>
        <w:tc>
          <w:tcPr>
            <w:tcW w:type="dxa" w:w="1560"/>
            <w:shd w:fill="F1F3F4"/>
            <w:tcMar>
              <w:top w:w="80" w:type="dxa"/>
              <w:start w:w="120" w:type="dxa"/>
              <w:bottom w:w="80" w:type="dxa"/>
              <w:end w:w="120" w:type="dxa"/>
            </w:tcMar>
          </w:tcPr>
          <w:p>
            <w:r>
              <w:rPr>
                <w:rFonts w:ascii="Arial" w:hAnsi="Arial" w:eastAsia="Arial"/>
                <w:b/>
                <w:color w:val="000000"/>
                <w:sz w:val="18"/>
              </w:rPr>
              <w:t>p</w:t>
            </w:r>
          </w:p>
        </w:tc>
        <w:tc>
          <w:tcPr>
            <w:tcW w:type="dxa" w:w="1560"/>
            <w:shd w:fill="F1F3F4"/>
            <w:tcMar>
              <w:top w:w="80" w:type="dxa"/>
              <w:start w:w="120" w:type="dxa"/>
              <w:bottom w:w="80" w:type="dxa"/>
              <w:end w:w="120" w:type="dxa"/>
            </w:tcMar>
          </w:tcPr>
          <w:p>
            <w:r>
              <w:rPr>
                <w:rFonts w:ascii="Arial" w:hAnsi="Arial" w:eastAsia="Arial"/>
                <w:b/>
                <w:color w:val="000000"/>
                <w:sz w:val="18"/>
              </w:rPr>
              <w:t>Weekly slope change</w:t>
            </w:r>
          </w:p>
        </w:tc>
        <w:tc>
          <w:tcPr>
            <w:tcW w:type="dxa" w:w="1560"/>
            <w:shd w:fill="F1F3F4"/>
            <w:tcMar>
              <w:top w:w="80" w:type="dxa"/>
              <w:start w:w="120" w:type="dxa"/>
              <w:bottom w:w="80" w:type="dxa"/>
              <w:end w:w="120" w:type="dxa"/>
            </w:tcMar>
          </w:tcPr>
          <w:p>
            <w:r>
              <w:rPr>
                <w:rFonts w:ascii="Arial" w:hAnsi="Arial" w:eastAsia="Arial"/>
                <w:b/>
                <w:color w:val="000000"/>
                <w:sz w:val="18"/>
              </w:rPr>
              <w:t>Interpretation</w:t>
            </w:r>
          </w:p>
        </w:tc>
      </w:tr>
      <w:tr>
        <w:tc>
          <w:tcPr>
            <w:tcW w:type="dxa" w:w="893"/>
            <w:tcMar>
              <w:top w:w="80" w:type="dxa"/>
              <w:start w:w="120" w:type="dxa"/>
              <w:bottom w:w="80" w:type="dxa"/>
              <w:end w:w="120" w:type="dxa"/>
            </w:tcMar>
            <w:vAlign w:val="center"/>
          </w:tcPr>
          <w:p>
            <w:pPr>
              <w:spacing w:after="0"/>
              <w:jc w:val="center"/>
            </w:pPr>
            <w:r>
              <w:rPr>
                <w:rFonts w:ascii="Arial" w:hAnsi="Arial" w:eastAsia="Arial"/>
                <w:b w:val="0"/>
                <w:color w:val="000000"/>
                <w:sz w:val="17"/>
              </w:rPr>
              <w:t>12d</w:t>
            </w:r>
          </w:p>
        </w:tc>
        <w:tc>
          <w:tcPr>
            <w:tcW w:type="dxa" w:w="1512"/>
            <w:tcMar>
              <w:top w:w="80" w:type="dxa"/>
              <w:start w:w="120" w:type="dxa"/>
              <w:bottom w:w="80" w:type="dxa"/>
              <w:end w:w="120" w:type="dxa"/>
            </w:tcMar>
            <w:vAlign w:val="center"/>
          </w:tcPr>
          <w:p>
            <w:pPr>
              <w:spacing w:after="0"/>
            </w:pPr>
            <w:r>
              <w:rPr>
                <w:rFonts w:ascii="Arial" w:hAnsi="Arial" w:eastAsia="Arial"/>
                <w:b w:val="0"/>
                <w:color w:val="000000"/>
                <w:sz w:val="17"/>
              </w:rPr>
              <w:t>Active travel</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-5.94%</w:t>
            </w:r>
          </w:p>
        </w:tc>
        <w:tc>
          <w:tcPr>
            <w:tcW w:type="dxa" w:w="1037"/>
            <w:tcMar>
              <w:top w:w="80" w:type="dxa"/>
              <w:start w:w="120" w:type="dxa"/>
              <w:bottom w:w="80" w:type="dxa"/>
              <w:end w:w="120" w:type="dxa"/>
            </w:tcMar>
            <w:vAlign w:val="center"/>
          </w:tcPr>
          <w:p>
            <w:pPr>
              <w:spacing w:after="0"/>
              <w:jc w:val="center"/>
            </w:pPr>
            <w:r>
              <w:rPr>
                <w:rFonts w:ascii="Arial" w:hAnsi="Arial" w:eastAsia="Arial"/>
                <w:b w:val="0"/>
                <w:color w:val="000000"/>
                <w:sz w:val="17"/>
              </w:rPr>
              <w:t>0.384</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+0.02% per week (p=0.641)</w:t>
            </w:r>
          </w:p>
        </w:tc>
        <w:tc>
          <w:tcPr>
            <w:tcW w:type="dxa" w:w="1987"/>
            <w:tcMar>
              <w:top w:w="80" w:type="dxa"/>
              <w:start w:w="120" w:type="dxa"/>
              <w:bottom w:w="80" w:type="dxa"/>
              <w:end w:w="120" w:type="dxa"/>
            </w:tcMar>
            <w:vAlign w:val="center"/>
          </w:tcPr>
          <w:p>
            <w:pPr>
              <w:spacing w:after="0"/>
            </w:pPr>
            <w:r>
              <w:rPr>
                <w:rFonts w:ascii="Arial" w:hAnsi="Arial" w:eastAsia="Arial"/>
                <w:b w:val="0"/>
                <w:color w:val="000000"/>
                <w:sz w:val="17"/>
              </w:rPr>
              <w:t>negative, uncertain</w:t>
            </w:r>
          </w:p>
        </w:tc>
      </w:tr>
      <w:tr>
        <w:tc>
          <w:tcPr>
            <w:tcW w:type="dxa" w:w="893"/>
            <w:tcMar>
              <w:top w:w="80" w:type="dxa"/>
              <w:start w:w="120" w:type="dxa"/>
              <w:bottom w:w="80" w:type="dxa"/>
              <w:end w:w="120" w:type="dxa"/>
            </w:tcMar>
            <w:vAlign w:val="center"/>
          </w:tcPr>
          <w:p>
            <w:pPr>
              <w:spacing w:after="0"/>
              <w:jc w:val="center"/>
            </w:pPr>
            <w:r>
              <w:rPr>
                <w:rFonts w:ascii="Arial" w:hAnsi="Arial" w:eastAsia="Arial"/>
                <w:b w:val="0"/>
                <w:color w:val="000000"/>
                <w:sz w:val="17"/>
              </w:rPr>
              <w:t>12d</w:t>
            </w:r>
          </w:p>
        </w:tc>
        <w:tc>
          <w:tcPr>
            <w:tcW w:type="dxa" w:w="1512"/>
            <w:tcMar>
              <w:top w:w="80" w:type="dxa"/>
              <w:start w:w="120" w:type="dxa"/>
              <w:bottom w:w="80" w:type="dxa"/>
              <w:end w:w="120" w:type="dxa"/>
            </w:tcMar>
            <w:vAlign w:val="center"/>
          </w:tcPr>
          <w:p>
            <w:pPr>
              <w:spacing w:after="0"/>
            </w:pPr>
            <w:r>
              <w:rPr>
                <w:rFonts w:ascii="Arial" w:hAnsi="Arial" w:eastAsia="Arial"/>
                <w:b w:val="0"/>
                <w:color w:val="000000"/>
                <w:sz w:val="17"/>
              </w:rPr>
              <w:t>Pedestrian</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-10.71%</w:t>
            </w:r>
          </w:p>
        </w:tc>
        <w:tc>
          <w:tcPr>
            <w:tcW w:type="dxa" w:w="1037"/>
            <w:tcMar>
              <w:top w:w="80" w:type="dxa"/>
              <w:start w:w="120" w:type="dxa"/>
              <w:bottom w:w="80" w:type="dxa"/>
              <w:end w:w="120" w:type="dxa"/>
            </w:tcMar>
            <w:vAlign w:val="center"/>
          </w:tcPr>
          <w:p>
            <w:pPr>
              <w:spacing w:after="0"/>
              <w:jc w:val="center"/>
            </w:pPr>
            <w:r>
              <w:rPr>
                <w:rFonts w:ascii="Arial" w:hAnsi="Arial" w:eastAsia="Arial"/>
                <w:b w:val="0"/>
                <w:color w:val="000000"/>
                <w:sz w:val="17"/>
              </w:rPr>
              <w:t>0.274</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+0.05% per week (p=0.324)</w:t>
            </w:r>
          </w:p>
        </w:tc>
        <w:tc>
          <w:tcPr>
            <w:tcW w:type="dxa" w:w="1987"/>
            <w:tcMar>
              <w:top w:w="80" w:type="dxa"/>
              <w:start w:w="120" w:type="dxa"/>
              <w:bottom w:w="80" w:type="dxa"/>
              <w:end w:w="120" w:type="dxa"/>
            </w:tcMar>
            <w:vAlign w:val="center"/>
          </w:tcPr>
          <w:p>
            <w:pPr>
              <w:spacing w:after="0"/>
            </w:pPr>
            <w:r>
              <w:rPr>
                <w:rFonts w:ascii="Arial" w:hAnsi="Arial" w:eastAsia="Arial"/>
                <w:b w:val="0"/>
                <w:color w:val="000000"/>
                <w:sz w:val="17"/>
              </w:rPr>
              <w:t>negative, uncertain</w:t>
            </w:r>
          </w:p>
        </w:tc>
      </w:tr>
      <w:tr>
        <w:tc>
          <w:tcPr>
            <w:tcW w:type="dxa" w:w="893"/>
            <w:tcMar>
              <w:top w:w="80" w:type="dxa"/>
              <w:start w:w="120" w:type="dxa"/>
              <w:bottom w:w="80" w:type="dxa"/>
              <w:end w:w="120" w:type="dxa"/>
            </w:tcMar>
            <w:vAlign w:val="center"/>
          </w:tcPr>
          <w:p>
            <w:pPr>
              <w:spacing w:after="0"/>
              <w:jc w:val="center"/>
            </w:pPr>
            <w:r>
              <w:rPr>
                <w:rFonts w:ascii="Arial" w:hAnsi="Arial" w:eastAsia="Arial"/>
                <w:b w:val="0"/>
                <w:color w:val="000000"/>
                <w:sz w:val="17"/>
              </w:rPr>
              <w:t>12d</w:t>
            </w:r>
          </w:p>
        </w:tc>
        <w:tc>
          <w:tcPr>
            <w:tcW w:type="dxa" w:w="1512"/>
            <w:tcMar>
              <w:top w:w="80" w:type="dxa"/>
              <w:start w:w="120" w:type="dxa"/>
              <w:bottom w:w="80" w:type="dxa"/>
              <w:end w:w="120" w:type="dxa"/>
            </w:tcMar>
            <w:vAlign w:val="center"/>
          </w:tcPr>
          <w:p>
            <w:pPr>
              <w:spacing w:after="0"/>
            </w:pPr>
            <w:r>
              <w:rPr>
                <w:rFonts w:ascii="Arial" w:hAnsi="Arial" w:eastAsia="Arial"/>
                <w:b w:val="0"/>
                <w:color w:val="000000"/>
                <w:sz w:val="17"/>
              </w:rPr>
              <w:t>Cyclist</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+20.33%</w:t>
            </w:r>
          </w:p>
        </w:tc>
        <w:tc>
          <w:tcPr>
            <w:tcW w:type="dxa" w:w="1037"/>
            <w:tcMar>
              <w:top w:w="80" w:type="dxa"/>
              <w:start w:w="120" w:type="dxa"/>
              <w:bottom w:w="80" w:type="dxa"/>
              <w:end w:w="120" w:type="dxa"/>
            </w:tcMar>
            <w:vAlign w:val="center"/>
          </w:tcPr>
          <w:p>
            <w:pPr>
              <w:spacing w:after="0"/>
              <w:jc w:val="center"/>
            </w:pPr>
            <w:r>
              <w:rPr>
                <w:rFonts w:ascii="Arial" w:hAnsi="Arial" w:eastAsia="Arial"/>
                <w:b w:val="0"/>
                <w:color w:val="000000"/>
                <w:sz w:val="17"/>
              </w:rPr>
              <w:t>0.448</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-0.15% per week (p=0.020)</w:t>
            </w:r>
          </w:p>
        </w:tc>
        <w:tc>
          <w:tcPr>
            <w:tcW w:type="dxa" w:w="1987"/>
            <w:tcMar>
              <w:top w:w="80" w:type="dxa"/>
              <w:start w:w="120" w:type="dxa"/>
              <w:bottom w:w="80" w:type="dxa"/>
              <w:end w:w="120" w:type="dxa"/>
            </w:tcMar>
            <w:vAlign w:val="center"/>
          </w:tcPr>
          <w:p>
            <w:pPr>
              <w:spacing w:after="0"/>
            </w:pPr>
            <w:r>
              <w:rPr>
                <w:rFonts w:ascii="Arial" w:hAnsi="Arial" w:eastAsia="Arial"/>
                <w:b w:val="0"/>
                <w:color w:val="000000"/>
                <w:sz w:val="17"/>
              </w:rPr>
              <w:t>negative, statistically flagged</w:t>
            </w:r>
          </w:p>
        </w:tc>
      </w:tr>
      <w:tr>
        <w:tc>
          <w:tcPr>
            <w:tcW w:type="dxa" w:w="893"/>
            <w:tcMar>
              <w:top w:w="80" w:type="dxa"/>
              <w:start w:w="120" w:type="dxa"/>
              <w:bottom w:w="80" w:type="dxa"/>
              <w:end w:w="120" w:type="dxa"/>
            </w:tcMar>
            <w:vAlign w:val="center"/>
          </w:tcPr>
          <w:p>
            <w:pPr>
              <w:spacing w:after="0"/>
              <w:jc w:val="center"/>
            </w:pPr>
            <w:r>
              <w:rPr>
                <w:rFonts w:ascii="Arial" w:hAnsi="Arial" w:eastAsia="Arial"/>
                <w:b w:val="0"/>
                <w:color w:val="000000"/>
                <w:sz w:val="17"/>
              </w:rPr>
              <w:t>12f</w:t>
            </w:r>
          </w:p>
        </w:tc>
        <w:tc>
          <w:tcPr>
            <w:tcW w:type="dxa" w:w="1512"/>
            <w:tcMar>
              <w:top w:w="80" w:type="dxa"/>
              <w:start w:w="120" w:type="dxa"/>
              <w:bottom w:w="80" w:type="dxa"/>
              <w:end w:w="120" w:type="dxa"/>
            </w:tcMar>
            <w:vAlign w:val="center"/>
          </w:tcPr>
          <w:p>
            <w:pPr>
              <w:spacing w:after="0"/>
            </w:pPr>
            <w:r>
              <w:rPr>
                <w:rFonts w:ascii="Arial" w:hAnsi="Arial" w:eastAsia="Arial"/>
                <w:b w:val="0"/>
                <w:color w:val="000000"/>
                <w:sz w:val="17"/>
              </w:rPr>
              <w:t>Active travel</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-8.47%</w:t>
            </w:r>
          </w:p>
        </w:tc>
        <w:tc>
          <w:tcPr>
            <w:tcW w:type="dxa" w:w="1037"/>
            <w:tcMar>
              <w:top w:w="80" w:type="dxa"/>
              <w:start w:w="120" w:type="dxa"/>
              <w:bottom w:w="80" w:type="dxa"/>
              <w:end w:w="120" w:type="dxa"/>
            </w:tcMar>
            <w:vAlign w:val="center"/>
          </w:tcPr>
          <w:p>
            <w:pPr>
              <w:spacing w:after="0"/>
              <w:jc w:val="center"/>
            </w:pPr>
            <w:r>
              <w:rPr>
                <w:rFonts w:ascii="Arial" w:hAnsi="Arial" w:eastAsia="Arial"/>
                <w:b w:val="0"/>
                <w:color w:val="000000"/>
                <w:sz w:val="17"/>
              </w:rPr>
              <w:t>0.237</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-0.11% per week (p=0.008)</w:t>
            </w:r>
          </w:p>
        </w:tc>
        <w:tc>
          <w:tcPr>
            <w:tcW w:type="dxa" w:w="1987"/>
            <w:tcMar>
              <w:top w:w="80" w:type="dxa"/>
              <w:start w:w="120" w:type="dxa"/>
              <w:bottom w:w="80" w:type="dxa"/>
              <w:end w:w="120" w:type="dxa"/>
            </w:tcMar>
            <w:vAlign w:val="center"/>
          </w:tcPr>
          <w:p>
            <w:pPr>
              <w:spacing w:after="0"/>
            </w:pPr>
            <w:r>
              <w:rPr>
                <w:rFonts w:ascii="Arial" w:hAnsi="Arial" w:eastAsia="Arial"/>
                <w:b w:val="0"/>
                <w:color w:val="000000"/>
                <w:sz w:val="17"/>
              </w:rPr>
              <w:t>negative, statistically flagged</w:t>
            </w:r>
          </w:p>
        </w:tc>
      </w:tr>
      <w:tr>
        <w:tc>
          <w:tcPr>
            <w:tcW w:type="dxa" w:w="893"/>
            <w:tcMar>
              <w:top w:w="80" w:type="dxa"/>
              <w:start w:w="120" w:type="dxa"/>
              <w:bottom w:w="80" w:type="dxa"/>
              <w:end w:w="120" w:type="dxa"/>
            </w:tcMar>
            <w:vAlign w:val="center"/>
          </w:tcPr>
          <w:p>
            <w:pPr>
              <w:spacing w:after="0"/>
              <w:jc w:val="center"/>
            </w:pPr>
            <w:r>
              <w:rPr>
                <w:rFonts w:ascii="Arial" w:hAnsi="Arial" w:eastAsia="Arial"/>
                <w:b w:val="0"/>
                <w:color w:val="000000"/>
                <w:sz w:val="17"/>
              </w:rPr>
              <w:t>12f</w:t>
            </w:r>
          </w:p>
        </w:tc>
        <w:tc>
          <w:tcPr>
            <w:tcW w:type="dxa" w:w="1512"/>
            <w:tcMar>
              <w:top w:w="80" w:type="dxa"/>
              <w:start w:w="120" w:type="dxa"/>
              <w:bottom w:w="80" w:type="dxa"/>
              <w:end w:w="120" w:type="dxa"/>
            </w:tcMar>
            <w:vAlign w:val="center"/>
          </w:tcPr>
          <w:p>
            <w:pPr>
              <w:spacing w:after="0"/>
            </w:pPr>
            <w:r>
              <w:rPr>
                <w:rFonts w:ascii="Arial" w:hAnsi="Arial" w:eastAsia="Arial"/>
                <w:b w:val="0"/>
                <w:color w:val="000000"/>
                <w:sz w:val="17"/>
              </w:rPr>
              <w:t>Pedestrian</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-4.66%</w:t>
            </w:r>
          </w:p>
        </w:tc>
        <w:tc>
          <w:tcPr>
            <w:tcW w:type="dxa" w:w="1037"/>
            <w:tcMar>
              <w:top w:w="80" w:type="dxa"/>
              <w:start w:w="120" w:type="dxa"/>
              <w:bottom w:w="80" w:type="dxa"/>
              <w:end w:w="120" w:type="dxa"/>
            </w:tcMar>
            <w:vAlign w:val="center"/>
          </w:tcPr>
          <w:p>
            <w:pPr>
              <w:spacing w:after="0"/>
              <w:jc w:val="center"/>
            </w:pPr>
            <w:r>
              <w:rPr>
                <w:rFonts w:ascii="Arial" w:hAnsi="Arial" w:eastAsia="Arial"/>
                <w:b w:val="0"/>
                <w:color w:val="000000"/>
                <w:sz w:val="17"/>
              </w:rPr>
              <w:t>0.394</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-0.09% per week (p=0.370)</w:t>
            </w:r>
          </w:p>
        </w:tc>
        <w:tc>
          <w:tcPr>
            <w:tcW w:type="dxa" w:w="1987"/>
            <w:tcMar>
              <w:top w:w="80" w:type="dxa"/>
              <w:start w:w="120" w:type="dxa"/>
              <w:bottom w:w="80" w:type="dxa"/>
              <w:end w:w="120" w:type="dxa"/>
            </w:tcMar>
            <w:vAlign w:val="center"/>
          </w:tcPr>
          <w:p>
            <w:pPr>
              <w:spacing w:after="0"/>
            </w:pPr>
            <w:r>
              <w:rPr>
                <w:rFonts w:ascii="Arial" w:hAnsi="Arial" w:eastAsia="Arial"/>
                <w:b w:val="0"/>
                <w:color w:val="000000"/>
                <w:sz w:val="17"/>
              </w:rPr>
              <w:t>negative, uncertain</w:t>
            </w:r>
          </w:p>
        </w:tc>
      </w:tr>
      <w:tr>
        <w:tc>
          <w:tcPr>
            <w:tcW w:type="dxa" w:w="893"/>
            <w:tcMar>
              <w:top w:w="80" w:type="dxa"/>
              <w:start w:w="120" w:type="dxa"/>
              <w:bottom w:w="80" w:type="dxa"/>
              <w:end w:w="120" w:type="dxa"/>
            </w:tcMar>
            <w:vAlign w:val="center"/>
          </w:tcPr>
          <w:p>
            <w:pPr>
              <w:spacing w:after="0"/>
              <w:jc w:val="center"/>
            </w:pPr>
            <w:r>
              <w:rPr>
                <w:rFonts w:ascii="Arial" w:hAnsi="Arial" w:eastAsia="Arial"/>
                <w:b w:val="0"/>
                <w:color w:val="000000"/>
                <w:sz w:val="17"/>
              </w:rPr>
              <w:t>12f</w:t>
            </w:r>
          </w:p>
        </w:tc>
        <w:tc>
          <w:tcPr>
            <w:tcW w:type="dxa" w:w="1512"/>
            <w:tcMar>
              <w:top w:w="80" w:type="dxa"/>
              <w:start w:w="120" w:type="dxa"/>
              <w:bottom w:w="80" w:type="dxa"/>
              <w:end w:w="120" w:type="dxa"/>
            </w:tcMar>
            <w:vAlign w:val="center"/>
          </w:tcPr>
          <w:p>
            <w:pPr>
              <w:spacing w:after="0"/>
            </w:pPr>
            <w:r>
              <w:rPr>
                <w:rFonts w:ascii="Arial" w:hAnsi="Arial" w:eastAsia="Arial"/>
                <w:b w:val="0"/>
                <w:color w:val="000000"/>
                <w:sz w:val="17"/>
              </w:rPr>
              <w:t>Cyclist</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-4.11%</w:t>
            </w:r>
          </w:p>
        </w:tc>
        <w:tc>
          <w:tcPr>
            <w:tcW w:type="dxa" w:w="1037"/>
            <w:tcMar>
              <w:top w:w="80" w:type="dxa"/>
              <w:start w:w="120" w:type="dxa"/>
              <w:bottom w:w="80" w:type="dxa"/>
              <w:end w:w="120" w:type="dxa"/>
            </w:tcMar>
            <w:vAlign w:val="center"/>
          </w:tcPr>
          <w:p>
            <w:pPr>
              <w:spacing w:after="0"/>
              <w:jc w:val="center"/>
            </w:pPr>
            <w:r>
              <w:rPr>
                <w:rFonts w:ascii="Arial" w:hAnsi="Arial" w:eastAsia="Arial"/>
                <w:b w:val="0"/>
                <w:color w:val="000000"/>
                <w:sz w:val="17"/>
              </w:rPr>
              <w:t>0.497</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-0.06% per week (p=0.268)</w:t>
            </w:r>
          </w:p>
        </w:tc>
        <w:tc>
          <w:tcPr>
            <w:tcW w:type="dxa" w:w="1987"/>
            <w:tcMar>
              <w:top w:w="80" w:type="dxa"/>
              <w:start w:w="120" w:type="dxa"/>
              <w:bottom w:w="80" w:type="dxa"/>
              <w:end w:w="120" w:type="dxa"/>
            </w:tcMar>
            <w:vAlign w:val="center"/>
          </w:tcPr>
          <w:p>
            <w:pPr>
              <w:spacing w:after="0"/>
            </w:pPr>
            <w:r>
              <w:rPr>
                <w:rFonts w:ascii="Arial" w:hAnsi="Arial" w:eastAsia="Arial"/>
                <w:b w:val="0"/>
                <w:color w:val="000000"/>
                <w:sz w:val="17"/>
              </w:rPr>
              <w:t>negative, uncertain</w:t>
            </w:r>
          </w:p>
        </w:tc>
      </w:tr>
      <w:tr>
        <w:tc>
          <w:tcPr>
            <w:tcW w:type="dxa" w:w="893"/>
            <w:tcMar>
              <w:top w:w="80" w:type="dxa"/>
              <w:start w:w="120" w:type="dxa"/>
              <w:bottom w:w="80" w:type="dxa"/>
              <w:end w:w="120" w:type="dxa"/>
            </w:tcMar>
            <w:vAlign w:val="center"/>
          </w:tcPr>
          <w:p>
            <w:pPr>
              <w:spacing w:after="0"/>
              <w:jc w:val="center"/>
            </w:pPr>
            <w:r>
              <w:rPr>
                <w:rFonts w:ascii="Arial" w:hAnsi="Arial" w:eastAsia="Arial"/>
                <w:b w:val="0"/>
                <w:color w:val="000000"/>
                <w:sz w:val="17"/>
              </w:rPr>
              <w:t>13</w:t>
            </w:r>
          </w:p>
        </w:tc>
        <w:tc>
          <w:tcPr>
            <w:tcW w:type="dxa" w:w="1512"/>
            <w:tcMar>
              <w:top w:w="80" w:type="dxa"/>
              <w:start w:w="120" w:type="dxa"/>
              <w:bottom w:w="80" w:type="dxa"/>
              <w:end w:w="120" w:type="dxa"/>
            </w:tcMar>
            <w:vAlign w:val="center"/>
          </w:tcPr>
          <w:p>
            <w:pPr>
              <w:spacing w:after="0"/>
            </w:pPr>
            <w:r>
              <w:rPr>
                <w:rFonts w:ascii="Arial" w:hAnsi="Arial" w:eastAsia="Arial"/>
                <w:b w:val="0"/>
                <w:color w:val="000000"/>
                <w:sz w:val="17"/>
              </w:rPr>
              <w:t>Active travel</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-29.30%</w:t>
            </w:r>
          </w:p>
        </w:tc>
        <w:tc>
          <w:tcPr>
            <w:tcW w:type="dxa" w:w="1037"/>
            <w:tcMar>
              <w:top w:w="80" w:type="dxa"/>
              <w:start w:w="120" w:type="dxa"/>
              <w:bottom w:w="80" w:type="dxa"/>
              <w:end w:w="120" w:type="dxa"/>
            </w:tcMar>
            <w:vAlign w:val="center"/>
          </w:tcPr>
          <w:p>
            <w:pPr>
              <w:spacing w:after="0"/>
              <w:jc w:val="center"/>
            </w:pPr>
            <w:r>
              <w:rPr>
                <w:rFonts w:ascii="Arial" w:hAnsi="Arial" w:eastAsia="Arial"/>
                <w:b w:val="0"/>
                <w:color w:val="000000"/>
                <w:sz w:val="17"/>
              </w:rPr>
              <w:t>0.361</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+0.08% per week (p=0.702)</w:t>
            </w:r>
          </w:p>
        </w:tc>
        <w:tc>
          <w:tcPr>
            <w:tcW w:type="dxa" w:w="1987"/>
            <w:tcMar>
              <w:top w:w="80" w:type="dxa"/>
              <w:start w:w="120" w:type="dxa"/>
              <w:bottom w:w="80" w:type="dxa"/>
              <w:end w:w="120" w:type="dxa"/>
            </w:tcMar>
            <w:vAlign w:val="center"/>
          </w:tcPr>
          <w:p>
            <w:pPr>
              <w:spacing w:after="0"/>
            </w:pPr>
            <w:r>
              <w:rPr>
                <w:rFonts w:ascii="Arial" w:hAnsi="Arial" w:eastAsia="Arial"/>
                <w:b w:val="0"/>
                <w:color w:val="000000"/>
                <w:sz w:val="17"/>
              </w:rPr>
              <w:t>negative, uncertain</w:t>
            </w:r>
          </w:p>
        </w:tc>
      </w:tr>
      <w:tr>
        <w:tc>
          <w:tcPr>
            <w:tcW w:type="dxa" w:w="893"/>
            <w:tcMar>
              <w:top w:w="80" w:type="dxa"/>
              <w:start w:w="120" w:type="dxa"/>
              <w:bottom w:w="80" w:type="dxa"/>
              <w:end w:w="120" w:type="dxa"/>
            </w:tcMar>
            <w:vAlign w:val="center"/>
          </w:tcPr>
          <w:p>
            <w:pPr>
              <w:spacing w:after="0"/>
              <w:jc w:val="center"/>
            </w:pPr>
            <w:r>
              <w:rPr>
                <w:rFonts w:ascii="Arial" w:hAnsi="Arial" w:eastAsia="Arial"/>
                <w:b w:val="0"/>
                <w:color w:val="000000"/>
                <w:sz w:val="17"/>
              </w:rPr>
              <w:t>13</w:t>
            </w:r>
          </w:p>
        </w:tc>
        <w:tc>
          <w:tcPr>
            <w:tcW w:type="dxa" w:w="1512"/>
            <w:tcMar>
              <w:top w:w="80" w:type="dxa"/>
              <w:start w:w="120" w:type="dxa"/>
              <w:bottom w:w="80" w:type="dxa"/>
              <w:end w:w="120" w:type="dxa"/>
            </w:tcMar>
            <w:vAlign w:val="center"/>
          </w:tcPr>
          <w:p>
            <w:pPr>
              <w:spacing w:after="0"/>
            </w:pPr>
            <w:r>
              <w:rPr>
                <w:rFonts w:ascii="Arial" w:hAnsi="Arial" w:eastAsia="Arial"/>
                <w:b w:val="0"/>
                <w:color w:val="000000"/>
                <w:sz w:val="17"/>
              </w:rPr>
              <w:t>Pedestrian</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-30.13%</w:t>
            </w:r>
          </w:p>
        </w:tc>
        <w:tc>
          <w:tcPr>
            <w:tcW w:type="dxa" w:w="1037"/>
            <w:tcMar>
              <w:top w:w="80" w:type="dxa"/>
              <w:start w:w="120" w:type="dxa"/>
              <w:bottom w:w="80" w:type="dxa"/>
              <w:end w:w="120" w:type="dxa"/>
            </w:tcMar>
            <w:vAlign w:val="center"/>
          </w:tcPr>
          <w:p>
            <w:pPr>
              <w:spacing w:after="0"/>
              <w:jc w:val="center"/>
            </w:pPr>
            <w:r>
              <w:rPr>
                <w:rFonts w:ascii="Arial" w:hAnsi="Arial" w:eastAsia="Arial"/>
                <w:b w:val="0"/>
                <w:color w:val="000000"/>
                <w:sz w:val="17"/>
              </w:rPr>
              <w:t>0.245</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-0.17% per week (p=0.371)</w:t>
            </w:r>
          </w:p>
        </w:tc>
        <w:tc>
          <w:tcPr>
            <w:tcW w:type="dxa" w:w="1987"/>
            <w:tcMar>
              <w:top w:w="80" w:type="dxa"/>
              <w:start w:w="120" w:type="dxa"/>
              <w:bottom w:w="80" w:type="dxa"/>
              <w:end w:w="120" w:type="dxa"/>
            </w:tcMar>
            <w:vAlign w:val="center"/>
          </w:tcPr>
          <w:p>
            <w:pPr>
              <w:spacing w:after="0"/>
            </w:pPr>
            <w:r>
              <w:rPr>
                <w:rFonts w:ascii="Arial" w:hAnsi="Arial" w:eastAsia="Arial"/>
                <w:b w:val="0"/>
                <w:color w:val="000000"/>
                <w:sz w:val="17"/>
              </w:rPr>
              <w:t>negative, uncertain</w:t>
            </w:r>
          </w:p>
        </w:tc>
      </w:tr>
      <w:tr>
        <w:tc>
          <w:tcPr>
            <w:tcW w:type="dxa" w:w="893"/>
            <w:tcMar>
              <w:top w:w="80" w:type="dxa"/>
              <w:start w:w="120" w:type="dxa"/>
              <w:bottom w:w="80" w:type="dxa"/>
              <w:end w:w="120" w:type="dxa"/>
            </w:tcMar>
            <w:vAlign w:val="center"/>
          </w:tcPr>
          <w:p>
            <w:pPr>
              <w:spacing w:after="0"/>
              <w:jc w:val="center"/>
            </w:pPr>
            <w:r>
              <w:rPr>
                <w:rFonts w:ascii="Arial" w:hAnsi="Arial" w:eastAsia="Arial"/>
                <w:b w:val="0"/>
                <w:color w:val="000000"/>
                <w:sz w:val="17"/>
              </w:rPr>
              <w:t>13</w:t>
            </w:r>
          </w:p>
        </w:tc>
        <w:tc>
          <w:tcPr>
            <w:tcW w:type="dxa" w:w="1512"/>
            <w:tcMar>
              <w:top w:w="80" w:type="dxa"/>
              <w:start w:w="120" w:type="dxa"/>
              <w:bottom w:w="80" w:type="dxa"/>
              <w:end w:w="120" w:type="dxa"/>
            </w:tcMar>
            <w:vAlign w:val="center"/>
          </w:tcPr>
          <w:p>
            <w:pPr>
              <w:spacing w:after="0"/>
            </w:pPr>
            <w:r>
              <w:rPr>
                <w:rFonts w:ascii="Arial" w:hAnsi="Arial" w:eastAsia="Arial"/>
                <w:b w:val="0"/>
                <w:color w:val="000000"/>
                <w:sz w:val="17"/>
              </w:rPr>
              <w:t>Cyclist</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-23.50%</w:t>
            </w:r>
          </w:p>
        </w:tc>
        <w:tc>
          <w:tcPr>
            <w:tcW w:type="dxa" w:w="1037"/>
            <w:tcMar>
              <w:top w:w="80" w:type="dxa"/>
              <w:start w:w="120" w:type="dxa"/>
              <w:bottom w:w="80" w:type="dxa"/>
              <w:end w:w="120" w:type="dxa"/>
            </w:tcMar>
            <w:vAlign w:val="center"/>
          </w:tcPr>
          <w:p>
            <w:pPr>
              <w:spacing w:after="0"/>
              <w:jc w:val="center"/>
            </w:pPr>
            <w:r>
              <w:rPr>
                <w:rFonts w:ascii="Arial" w:hAnsi="Arial" w:eastAsia="Arial"/>
                <w:b w:val="0"/>
                <w:color w:val="000000"/>
                <w:sz w:val="17"/>
              </w:rPr>
              <w:t>0.481</w:t>
            </w:r>
          </w:p>
        </w:tc>
        <w:tc>
          <w:tcPr>
            <w:tcW w:type="dxa" w:w="1944"/>
            <w:tcMar>
              <w:top w:w="80" w:type="dxa"/>
              <w:start w:w="120" w:type="dxa"/>
              <w:bottom w:w="80" w:type="dxa"/>
              <w:end w:w="120" w:type="dxa"/>
            </w:tcMar>
            <w:vAlign w:val="center"/>
          </w:tcPr>
          <w:p>
            <w:pPr>
              <w:spacing w:after="0"/>
            </w:pPr>
            <w:r>
              <w:rPr>
                <w:rFonts w:ascii="Arial" w:hAnsi="Arial" w:eastAsia="Arial"/>
                <w:b w:val="0"/>
                <w:color w:val="000000"/>
                <w:sz w:val="17"/>
              </w:rPr>
              <w:t>+0.39% per week (p=0.109)</w:t>
            </w:r>
          </w:p>
        </w:tc>
        <w:tc>
          <w:tcPr>
            <w:tcW w:type="dxa" w:w="1987"/>
            <w:tcMar>
              <w:top w:w="80" w:type="dxa"/>
              <w:start w:w="120" w:type="dxa"/>
              <w:bottom w:w="80" w:type="dxa"/>
              <w:end w:w="120" w:type="dxa"/>
            </w:tcMar>
            <w:vAlign w:val="center"/>
          </w:tcPr>
          <w:p>
            <w:pPr>
              <w:spacing w:after="0"/>
            </w:pPr>
            <w:r>
              <w:rPr>
                <w:rFonts w:ascii="Arial" w:hAnsi="Arial" w:eastAsia="Arial"/>
                <w:b w:val="0"/>
                <w:color w:val="000000"/>
                <w:sz w:val="17"/>
              </w:rPr>
              <w:t>negative, uncertain</w:t>
            </w:r>
          </w:p>
        </w:tc>
      </w:tr>
    </w:tbl>
    <w:p>
      <w:pPr>
        <w:spacing w:before="400" w:after="120"/>
      </w:pPr>
      <w:r>
        <w:rPr>
          <w:rFonts w:ascii="Arial" w:hAnsi="Arial" w:eastAsia="Arial"/>
          <w:b w:val="0"/>
          <w:color w:val="000000"/>
          <w:sz w:val="40"/>
        </w:rPr>
        <w:t>Scheme-Level Reading</w:t>
      </w:r>
    </w:p>
    <w:p>
      <w:pPr>
        <w:spacing w:after="160" w:line="276" w:lineRule="auto"/>
      </w:pPr>
      <w:r>
        <w:rPr>
          <w:rFonts w:ascii="Arial" w:hAnsi="Arial" w:eastAsia="Arial"/>
          <w:b w:val="0"/>
          <w:color w:val="000000"/>
          <w:sz w:val="22"/>
        </w:rPr>
        <w:t>For scheme 12d, active travel and pedestrian changes are not statistically clear. Cyclist counts show a positive but uncertain immediate level change, followed by a negative statistically flagged relative slope of about -0.15% per week. This suggests the cycling trajectory at treated countlines may have weakened relative to controls after the intervention month, but this remains exploratory.</w:t>
      </w:r>
    </w:p>
    <w:p>
      <w:pPr>
        <w:spacing w:after="160" w:line="276" w:lineRule="auto"/>
      </w:pPr>
      <w:r>
        <w:rPr>
          <w:rFonts w:ascii="Arial" w:hAnsi="Arial" w:eastAsia="Arial"/>
          <w:b w:val="0"/>
          <w:color w:val="000000"/>
          <w:sz w:val="22"/>
        </w:rPr>
        <w:t>For scheme 12f, the active travel outcome shows a negative statistically flagged relative slope of about -0.11% per week, while pedestrian and cyclist outcomes are negative but uncertain. This does not currently indicate an increase in active travel uptake relative to controls.</w:t>
      </w:r>
    </w:p>
    <w:p>
      <w:pPr>
        <w:spacing w:after="160" w:line="276" w:lineRule="auto"/>
      </w:pPr>
      <w:r>
        <w:rPr>
          <w:rFonts w:ascii="Arial" w:hAnsi="Arial" w:eastAsia="Arial"/>
          <w:b w:val="0"/>
          <w:color w:val="000000"/>
          <w:sz w:val="22"/>
        </w:rPr>
        <w:t>For scheme 13, all immediate level changes are negative but uncertain, and the post-intervention slope terms are not statistically clear. Cyclist counts have a positive but uncertain slope term, so the result should be treated as inconclusive rather than evidence of success or failure.</w:t>
      </w:r>
    </w:p>
    <w:p>
      <w:pPr>
        <w:spacing w:before="400" w:after="120"/>
      </w:pPr>
      <w:r>
        <w:rPr>
          <w:rFonts w:ascii="Arial" w:hAnsi="Arial" w:eastAsia="Arial"/>
          <w:b w:val="0"/>
          <w:color w:val="000000"/>
          <w:sz w:val="40"/>
        </w:rPr>
        <w:t>How This Should Be Written</w:t>
      </w:r>
    </w:p>
    <w:p>
      <w:pPr>
        <w:pStyle w:val="ListBullet"/>
        <w:spacing w:after="80" w:line="276" w:lineRule="auto"/>
      </w:pPr>
      <w:r>
        <w:rPr>
          <w:rFonts w:ascii="Arial" w:hAnsi="Arial" w:eastAsia="Arial"/>
          <w:b w:val="0"/>
          <w:color w:val="000000"/>
          <w:sz w:val="22"/>
        </w:rPr>
        <w:t>Use cautious wording: relative trajectories, exploratory comparison, and evidence consistent with.</w:t>
      </w:r>
    </w:p>
    <w:p>
      <w:pPr>
        <w:pStyle w:val="ListBullet"/>
        <w:spacing w:after="80" w:line="276" w:lineRule="auto"/>
      </w:pPr>
      <w:r>
        <w:rPr>
          <w:rFonts w:ascii="Arial" w:hAnsi="Arial" w:eastAsia="Arial"/>
          <w:b w:val="0"/>
          <w:color w:val="000000"/>
          <w:sz w:val="22"/>
        </w:rPr>
        <w:t>Avoid definitive phrases such as the scheme caused a reduction or the scheme had no effect.</w:t>
      </w:r>
    </w:p>
    <w:p>
      <w:pPr>
        <w:pStyle w:val="ListBullet"/>
        <w:spacing w:after="80" w:line="276" w:lineRule="auto"/>
      </w:pPr>
      <w:r>
        <w:rPr>
          <w:rFonts w:ascii="Arial" w:hAnsi="Arial" w:eastAsia="Arial"/>
          <w:b w:val="0"/>
          <w:color w:val="000000"/>
          <w:sz w:val="22"/>
        </w:rPr>
        <w:t>Treat statistically flagged terms as signals requiring interpretation against sensor coverage, confirmed intervention-date coding, seasonality, and site context.</w:t>
      </w:r>
    </w:p>
    <w:p>
      <w:pPr>
        <w:pStyle w:val="ListBullet"/>
        <w:spacing w:after="80" w:line="276" w:lineRule="auto"/>
      </w:pPr>
      <w:r>
        <w:rPr>
          <w:rFonts w:ascii="Arial" w:hAnsi="Arial" w:eastAsia="Arial"/>
          <w:b w:val="0"/>
          <w:color w:val="000000"/>
          <w:sz w:val="22"/>
        </w:rPr>
        <w:t>Use 12b and 12e to discuss data limitations and descriptive trends, not causal scheme effects.</w:t>
      </w:r>
    </w:p>
    <w:p>
      <w:pPr>
        <w:spacing w:before="400" w:after="120"/>
      </w:pPr>
      <w:r>
        <w:rPr>
          <w:rFonts w:ascii="Arial" w:hAnsi="Arial" w:eastAsia="Arial"/>
          <w:b w:val="0"/>
          <w:color w:val="000000"/>
          <w:sz w:val="40"/>
        </w:rPr>
        <w:t>Immediate Next Work</w:t>
      </w:r>
    </w:p>
    <w:p>
      <w:pPr>
        <w:pStyle w:val="ListBullet"/>
        <w:spacing w:after="80" w:line="276" w:lineRule="auto"/>
      </w:pPr>
      <w:r>
        <w:rPr>
          <w:rFonts w:ascii="Arial" w:hAnsi="Arial" w:eastAsia="Arial"/>
          <w:b w:val="0"/>
          <w:color w:val="000000"/>
          <w:sz w:val="22"/>
        </w:rPr>
        <w:t>Manually verify shortlisted control countlines against local scheme maps and street-level context.</w:t>
      </w:r>
    </w:p>
    <w:p>
      <w:pPr>
        <w:pStyle w:val="ListBullet"/>
        <w:spacing w:after="80" w:line="276" w:lineRule="auto"/>
      </w:pPr>
      <w:r>
        <w:rPr>
          <w:rFonts w:ascii="Arial" w:hAnsi="Arial" w:eastAsia="Arial"/>
          <w:b w:val="0"/>
          <w:color w:val="000000"/>
          <w:sz w:val="22"/>
        </w:rPr>
        <w:t>Produce a deprivation/affluence comparison table for treated sites and valid controls using LSOA-linked IMD and Census indicators.</w:t>
      </w:r>
    </w:p>
    <w:p>
      <w:pPr>
        <w:pStyle w:val="ListBullet"/>
        <w:spacing w:after="80" w:line="276" w:lineRule="auto"/>
      </w:pPr>
      <w:r>
        <w:rPr>
          <w:rFonts w:ascii="Arial" w:hAnsi="Arial" w:eastAsia="Arial"/>
          <w:b w:val="0"/>
          <w:color w:val="000000"/>
          <w:sz w:val="22"/>
        </w:rPr>
        <w:t>Report pedestrian and cyclist outcomes separately first, then use active travel total as a summary measure.</w:t>
      </w:r>
    </w:p>
    <w:p>
      <w:pPr>
        <w:pStyle w:val="ListBullet"/>
        <w:spacing w:after="80" w:line="276" w:lineRule="auto"/>
      </w:pPr>
      <w:r>
        <w:rPr>
          <w:rFonts w:ascii="Arial" w:hAnsi="Arial" w:eastAsia="Arial"/>
          <w:b w:val="0"/>
          <w:color w:val="000000"/>
          <w:sz w:val="22"/>
        </w:rPr>
        <w:t>Write a limitations paragraph that explicitly addresses remaining pre-intervention coverage limits and control contamination risk.</w:t>
      </w:r>
    </w:p>
    <w:p>
      <w:pPr>
        <w:spacing w:before="400" w:after="120"/>
      </w:pPr>
      <w:r>
        <w:rPr>
          <w:rFonts w:ascii="Arial" w:hAnsi="Arial" w:eastAsia="Arial"/>
          <w:b w:val="0"/>
          <w:color w:val="000000"/>
          <w:sz w:val="40"/>
        </w:rPr>
        <w:t>Figures for Results Chapter</w:t>
      </w:r>
    </w:p>
    <w:p>
      <w:pPr>
        <w:spacing w:after="160" w:line="276" w:lineRule="auto"/>
      </w:pPr>
      <w:r>
        <w:rPr>
          <w:rFonts w:ascii="Arial" w:hAnsi="Arial" w:eastAsia="Arial"/>
          <w:b w:val="0"/>
          <w:color w:val="000000"/>
          <w:sz w:val="22"/>
        </w:rPr>
        <w:t>The following plots are the current observed-versus-fitted model diagnostics. They are useful for the results chapter, but captions should describe them as exploratory model fits rather than final causal estimates.</w:t>
      </w:r>
    </w:p>
    <w:p>
      <w:pPr>
        <w:spacing w:before="240" w:after="80"/>
      </w:pPr>
      <w:r>
        <w:rPr>
          <w:rFonts w:ascii="Arial" w:hAnsi="Arial" w:eastAsia="Arial"/>
          <w:b/>
          <w:color w:val="000000"/>
          <w:sz w:val="20"/>
        </w:rPr>
        <w:t>Figure 1. Active travel observed and fitted weekly counts.</w:t>
      </w:r>
    </w:p>
    <w:p>
      <w:r>
        <w:drawing>
          <wp:inline xmlns:a="http://schemas.openxmlformats.org/drawingml/2006/main" xmlns:pic="http://schemas.openxmlformats.org/drawingml/2006/picture">
            <wp:extent cx="5806440" cy="4750724"/>
            <wp:docPr id="1" name="Picture 1"/>
            <wp:cNvGraphicFramePr>
              <a:graphicFrameLocks noChangeAspect="1"/>
            </wp:cNvGraphicFramePr>
            <a:graphic>
              <a:graphicData uri="http://schemas.openxmlformats.org/drawingml/2006/picture">
                <pic:pic>
                  <pic:nvPicPr>
                    <pic:cNvPr id="0" name="model_observed_fitted_active_per_observed_day.png"/>
                    <pic:cNvPicPr/>
                  </pic:nvPicPr>
                  <pic:blipFill>
                    <a:blip r:embed="rId9"/>
                    <a:stretch>
                      <a:fillRect/>
                    </a:stretch>
                  </pic:blipFill>
                  <pic:spPr>
                    <a:xfrm>
                      <a:off x="0" y="0"/>
                      <a:ext cx="5806440" cy="4750724"/>
                    </a:xfrm>
                    <a:prstGeom prst="rect"/>
                  </pic:spPr>
                </pic:pic>
              </a:graphicData>
            </a:graphic>
          </wp:inline>
        </w:drawing>
      </w:r>
    </w:p>
    <w:p>
      <w:pPr>
        <w:spacing w:before="240" w:after="80"/>
      </w:pPr>
      <w:r>
        <w:rPr>
          <w:rFonts w:ascii="Arial" w:hAnsi="Arial" w:eastAsia="Arial"/>
          <w:b/>
          <w:color w:val="000000"/>
          <w:sz w:val="20"/>
        </w:rPr>
        <w:t>Figure 2. Pedestrian observed and fitted weekly counts.</w:t>
      </w:r>
    </w:p>
    <w:p>
      <w:r>
        <w:drawing>
          <wp:inline xmlns:a="http://schemas.openxmlformats.org/drawingml/2006/main" xmlns:pic="http://schemas.openxmlformats.org/drawingml/2006/picture">
            <wp:extent cx="5806440" cy="4750724"/>
            <wp:docPr id="2" name="Picture 2"/>
            <wp:cNvGraphicFramePr>
              <a:graphicFrameLocks noChangeAspect="1"/>
            </wp:cNvGraphicFramePr>
            <a:graphic>
              <a:graphicData uri="http://schemas.openxmlformats.org/drawingml/2006/picture">
                <pic:pic>
                  <pic:nvPicPr>
                    <pic:cNvPr id="0" name="model_observed_fitted_pedestrian_per_observed_day.png"/>
                    <pic:cNvPicPr/>
                  </pic:nvPicPr>
                  <pic:blipFill>
                    <a:blip r:embed="rId10"/>
                    <a:stretch>
                      <a:fillRect/>
                    </a:stretch>
                  </pic:blipFill>
                  <pic:spPr>
                    <a:xfrm>
                      <a:off x="0" y="0"/>
                      <a:ext cx="5806440" cy="4750724"/>
                    </a:xfrm>
                    <a:prstGeom prst="rect"/>
                  </pic:spPr>
                </pic:pic>
              </a:graphicData>
            </a:graphic>
          </wp:inline>
        </w:drawing>
      </w:r>
    </w:p>
    <w:p>
      <w:pPr>
        <w:spacing w:before="240" w:after="80"/>
      </w:pPr>
      <w:r>
        <w:rPr>
          <w:rFonts w:ascii="Arial" w:hAnsi="Arial" w:eastAsia="Arial"/>
          <w:b/>
          <w:color w:val="000000"/>
          <w:sz w:val="20"/>
        </w:rPr>
        <w:t>Figure 3. Cyclist observed and fitted weekly counts.</w:t>
      </w:r>
    </w:p>
    <w:p>
      <w:r>
        <w:drawing>
          <wp:inline xmlns:a="http://schemas.openxmlformats.org/drawingml/2006/main" xmlns:pic="http://schemas.openxmlformats.org/drawingml/2006/picture">
            <wp:extent cx="5806440" cy="4750724"/>
            <wp:docPr id="3" name="Picture 3"/>
            <wp:cNvGraphicFramePr>
              <a:graphicFrameLocks noChangeAspect="1"/>
            </wp:cNvGraphicFramePr>
            <a:graphic>
              <a:graphicData uri="http://schemas.openxmlformats.org/drawingml/2006/picture">
                <pic:pic>
                  <pic:nvPicPr>
                    <pic:cNvPr id="0" name="model_observed_fitted_cyclist_per_observed_day.png"/>
                    <pic:cNvPicPr/>
                  </pic:nvPicPr>
                  <pic:blipFill>
                    <a:blip r:embed="rId11"/>
                    <a:stretch>
                      <a:fillRect/>
                    </a:stretch>
                  </pic:blipFill>
                  <pic:spPr>
                    <a:xfrm>
                      <a:off x="0" y="0"/>
                      <a:ext cx="5806440" cy="4750724"/>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