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 w:line="330" w:lineRule="auto"/>
      </w:pPr>
      <w:r>
        <w:rPr>
          <w:rFonts w:ascii="Georgia" w:hAnsi="Georgia" w:eastAsia="Songti SC" w:cs="Georgia"/>
        </w:rPr>
        <w:t xml:space="preserve">人形家用机器人需求诊断报告</w:t>
      </w:r>
    </w:p>
    <w:p>
      <w:pPr>
        <w:pStyle w:val="Subtitle"/>
        <w:spacing w:before="0" w:after="120" w:line="330" w:lineRule="auto"/>
      </w:pPr>
      <w:r>
        <w:rPr>
          <w:rFonts w:ascii="Georgia" w:hAnsi="Georgia" w:eastAsia="Songti SC" w:cs="Georgia"/>
        </w:rPr>
        <w:t xml:space="preserve">人形家用机器人存在真实愿望和长期趋势，但当下家庭场景的需求成立被价格、能力边界、安全隐私和可获得性明显卡住，更适合先从高端试点、养老陪护和家政服务机构共创验证，而不是面向普通家庭规模化销售。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500"/>
        <w:gridCol w:w="7860"/>
      </w:tblGrid>
      <w:tr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项目</w:t>
            </w:r>
          </w:p>
        </w:tc>
        <w:tc>
          <w:tcPr>
            <w:tcW w:w="78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内容</w:t>
            </w:r>
          </w:p>
        </w:tc>
      </w:tr>
      <w:tr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产品</w:t>
            </w:r>
          </w:p>
        </w:tc>
        <w:tc>
          <w:tcPr>
            <w:tcW w:w="7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人形家用机器人</w:t>
            </w:r>
          </w:p>
        </w:tc>
      </w:tr>
      <w:tr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日期</w:t>
            </w:r>
          </w:p>
        </w:tc>
        <w:tc>
          <w:tcPr>
            <w:tcW w:w="7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目标市场</w:t>
            </w:r>
          </w:p>
        </w:tc>
        <w:tc>
          <w:tcPr>
            <w:tcW w:w="7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中国一二线城市中高收入家庭，重点覆盖家务辅助、银发陪护、居家安全和高端智能家居尝鲜人群</w:t>
            </w:r>
          </w:p>
        </w:tc>
      </w:tr>
      <w:tr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分析目标</w:t>
            </w:r>
          </w:p>
        </w:tc>
        <w:tc>
          <w:tcPr>
            <w:tcW w:w="7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新品类需求验证与商业化优先级判断</w:t>
            </w:r>
          </w:p>
        </w:tc>
      </w:tr>
      <w:tr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建议决策</w:t>
            </w:r>
          </w:p>
        </w:tc>
        <w:tc>
          <w:tcPr>
            <w:tcW w:w="7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重做定位</w:t>
            </w:r>
          </w:p>
        </w:tc>
      </w:tr>
    </w:tbl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2300"/>
        <w:gridCol w:w="7060"/>
      </w:tblGrid>
      <w:tr>
        <w:tc>
          <w:tcPr>
            <w:tcW w:w="2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</w:t>
            </w:r>
          </w:p>
        </w:tc>
        <w:tc>
          <w:tcPr>
            <w:tcW w:w="70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读数</w:t>
            </w:r>
          </w:p>
        </w:tc>
      </w:tr>
      <w:tr>
        <w:tc>
          <w:tcPr>
            <w:tcW w:w="2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总分</w:t>
            </w:r>
          </w:p>
        </w:tc>
        <w:tc>
          <w:tcPr>
            <w:tcW w:w="7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4.3</w:t>
            </w:r>
          </w:p>
        </w:tc>
      </w:tr>
      <w:tr>
        <w:tc>
          <w:tcPr>
            <w:tcW w:w="2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7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6.7</w:t>
            </w:r>
          </w:p>
        </w:tc>
      </w:tr>
      <w:tr>
        <w:tc>
          <w:tcPr>
            <w:tcW w:w="2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7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5.6</w:t>
            </w:r>
          </w:p>
        </w:tc>
      </w:tr>
      <w:tr>
        <w:tc>
          <w:tcPr>
            <w:tcW w:w="2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消费者能力</w:t>
            </w:r>
          </w:p>
        </w:tc>
        <w:tc>
          <w:tcPr>
            <w:tcW w:w="7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</w:tr>
      <w:tr>
        <w:tc>
          <w:tcPr>
            <w:tcW w:w="2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证据信心</w:t>
            </w:r>
          </w:p>
        </w:tc>
        <w:tc>
          <w:tcPr>
            <w:tcW w:w="7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0.82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最大机会：</w:t>
      </w:r>
      <w:r>
        <w:rPr>
          <w:rFonts w:ascii="Georgia" w:hAnsi="Georgia" w:eastAsia="Songti SC" w:cs="Georgia"/>
        </w:rPr>
        <w:t xml:space="preserve">老龄化、家政服务缺口、智能家居普及和家庭自动化愿望共同形成长期需求土壤；如果能把任务范围收窄到高频、低风险、可验证的家庭任务，需求会明显增强。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最大风险：</w:t>
      </w:r>
      <w:r>
        <w:rPr>
          <w:rFonts w:ascii="Georgia" w:hAnsi="Georgia" w:eastAsia="Songti SC" w:cs="Georgia"/>
        </w:rPr>
        <w:t xml:space="preserve">真实家庭环境开放且不规则，当前通用家务能力、远程操作隐私、物理安全、价格和售后责任都没有达到普通家庭放心购买的门槛。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下一步策略：</w:t>
      </w:r>
      <w:r>
        <w:rPr>
          <w:rFonts w:ascii="Georgia" w:hAnsi="Georgia" w:eastAsia="Songti SC" w:cs="Georgia"/>
        </w:rPr>
        <w:t xml:space="preserve">用高端家庭和机构共创证明有限任务价值，用隐私安全和租赁服务降低入户门槛，再逐步扩大家庭任务边界。</w:t>
      </w:r>
    </w:p>
    <w:p>
      <w:pPr>
        <w:pStyle w:val="Heading1"/>
        <w:pageBreakBefore/>
        <w:spacing w:before="0" w:after="120" w:line="330" w:lineRule="auto"/>
      </w:pPr>
      <w:r>
        <w:rPr>
          <w:rFonts w:ascii="Georgia" w:hAnsi="Georgia" w:eastAsia="Songti SC" w:cs="Georgia"/>
        </w:rPr>
        <w:t xml:space="preserve">可视化诊断</w:t>
      </w:r>
    </w:p>
    <w:p>
      <w:pPr>
        <w:pStyle w:val="Caption"/>
        <w:spacing w:before="0" w:after="120" w:line="330" w:lineRule="auto"/>
      </w:pPr>
      <w:r>
        <w:rPr>
          <w:rFonts w:ascii="Georgia" w:hAnsi="Georgia" w:eastAsia="Songti SC" w:cs="Georgia"/>
        </w:rPr>
        <w:t xml:space="preserve">Word 版本使用图表等价数据卡片，HTML/PDF 版本渲染为静态 SVG 图表。每个模块先给判断，再给数据。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01｜总分诊断：愿望强，家庭购买能力不足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SCORE_GAUGE · 置信度 0.82 | S1 S7 S9 S10 S12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需求总分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4.3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重定入口市场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总分处在脆弱区间，说明品类长期方向成立，但现在不适合按普通家电逻辑直接规模化销售。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先把入口市场从普通家庭改为高端试点、养老陪护和家政/机构共创。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02｜需求三角雷达：消费者能力拖后腿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RADAR · 置信度 0.80 | S1 S10 S12 S13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6.7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5.6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消费者能力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缺乏感不低，目标物也有雏形；真正限制需求成立的是家庭能否放心、负担并持续使用。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所有迭代优先围绕降成本、降风险、降信任门槛，而不是继续堆叠能力演示。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03｜三大维度短板：先修能力成本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BAR · 置信度 0.84 | S1 S10 S13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6.7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5.6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消费者能力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能力成本低到足以否定规模化家庭购买，继续强化愿景不会自动转化为订单。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先用订阅、保险、可退押金、上门服务和透明隐私协议重构购买门槛。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04｜子项热力图：钱、信任、风险是红区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HEATMAP · 置信度 0.78 | S10 S12 S13 S14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强度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频率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紧迫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趋势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匹配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清晰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验证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见效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能力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金钱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能力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行动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能力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信任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能力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风险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热力图显示最弱项并非用户没有需求，而是用户不敢让设备进入家庭核心空间。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先把隐私、安全、故障和责任做成产品的一等功能。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05｜缺乏感结构：趋势强，紧迫性一般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RADAR · 置信度 0.79 | S5 S6 S7 S9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强度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频率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紧迫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认知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趋势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付费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用户知道家务和照护很痛，也相信自动化是趋势，但短期仍可用人工服务和单任务设备替代。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不要抽象讲未来家庭，应聚焦老人安全、夜间巡检、取物递送等更有触发感的场景。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06｜目标物结构：概念清楚，实证不足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RADAR · 置信度 0.76 | S1 S2 S3 S11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任务匹配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清晰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差异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证据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品类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见效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人形形态的差异化明确，但真实家庭任务完成率、失败恢复和长期复用还缺少强证据。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先公开有限任务的家庭测试基准，而不是只展示实验室或舞台能力。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07｜消费者能力：隐私和价格同时压制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RADAR · 置信度 0.82 | S1 S12 S13 S15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金钱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行动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学习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信任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风险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形象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可得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高端用户可能愿意展示科技形象，但普通家庭很难同时接受高价、摄像头、机械臂和远程接管。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把遥操作状态、录像边界、数据用途和本地控制做成可见、可审计、可撤销的机制。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08｜人群机会矩阵：先吃高端与机构共创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MATRIX · 置信度 0.74 | S7 S9 S10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高端尝鲜家庭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5.8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6.5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独居老人家庭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4.2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8.2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双职工育儿家庭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4.8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高净值管家家庭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7.5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机构共创客户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7.8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老人家庭需求最强但采用能力不高；高净值家庭和机构共创客户更适合作为早期入口。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用机构和高端家庭积累场景，再把验证后的任务包下沉到老人家庭。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09｜替代方案矩阵：成熟替代品更可买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MATRIX · 置信度 0.78 | S1 S3 S4 S5 S9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人形家用机器人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6.2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1X NEO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3.2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Figure 03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2.8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Unitree 硬件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4.5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扫地机智能家居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3.8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8.3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人类家政护工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不购买观望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1.5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人形机器人覆盖面看起来更大，但购买确定性低；扫地机、智能家居和人工服务更容易成交。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定位上不要直接替代全部家政，应先补成熟替代品做不了的夜间、跨设备和陪伴巡检任务。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10｜采用漏斗：从愿望到持续使用急剧收缩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FUNNEL · 置信度 0.68 | S1 S12 S13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知道愿望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100.0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愿意了解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72.0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接受入户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接受高价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18.0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接受试点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10.0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持续使用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最大流失不在认知层，而在入户许可、高价购买和持续任务价值。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漏斗优化要从隐私授权、可退试用和任务复用率开始，不要只做品牌教育。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11｜证据结构：政策与官方多，用户留存少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STACKED_BAR · 置信度 0.75 | S1 S5 S8 S9 S11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官方产品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政策行业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媒体实测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用户反馈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假设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证据偏向供给侧和趋势侧，缺少真实家庭长期使用数据，因此不能高估需求确定性。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下一轮必须补真实家庭访谈、上门试用和 30 天留存数据。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12｜风险矩阵：隐私、安全、能力落差最危险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MATRIX · 置信度 0.84 | S10 S12 S13 S14 S15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隐私远程操作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物理安全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价格过高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能力不达预期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售后维护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监管责任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风险并非附属问题，而是直接决定用户是否允许机器人进家的购买条件。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先发布家庭安全白皮书、隐私控制台、遥操作标识和保险责任方案。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13｜建议优先级：别先做全能家务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MATRIX · 置信度 0.76 | S9 S10 S13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养老陪护 MVP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隐私本地化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RaaS 降价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8.0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家政机构共创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7.0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高端试点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6.0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通用家务全自动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9.0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通用家务全自动价值大但难度最高，短期更适合先做养老陪护、隐私机制和机构共创。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产品路线应从可控高价值任务切入，再逐步扩大自动化边界。</w:t>
      </w:r>
    </w:p>
    <w:p>
      <w:pPr>
        <w:pStyle w:val="Heading2"/>
        <w:keepNext/>
        <w:spacing w:before="180" w:after="80" w:line="330" w:lineRule="auto"/>
      </w:pPr>
      <w:r>
        <w:rPr>
          <w:rFonts w:ascii="Georgia" w:hAnsi="Georgia" w:eastAsia="Songti SC" w:cs="Georgia"/>
        </w:rPr>
        <w:t xml:space="preserve">图表 14｜情景预测：重定位后才有上升空间</w:t>
      </w:r>
    </w:p>
    <w:p>
      <w:pPr>
        <w:pStyle w:val="Caption"/>
        <w:spacing w:before="0" w:after="70" w:line="330" w:lineRule="auto"/>
      </w:pPr>
      <w:r>
        <w:rPr>
          <w:rFonts w:ascii="Georgia" w:hAnsi="Georgia" w:eastAsia="Songti SC" w:cs="Georgia"/>
          <w:color w:val="6B6A64"/>
          <w:sz w:val="17"/>
        </w:rPr>
        <w:t xml:space="preserve">FORECAST · 置信度 0.73 | S1 S9 S10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00"/>
        <w:gridCol w:w="4300"/>
        <w:gridCol w:w="1500"/>
        <w:gridCol w:w="2360"/>
      </w:tblGrid>
      <w:tr>
        <w:tc>
          <w:tcPr>
            <w:tcW w:w="12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分组</w:t>
            </w:r>
          </w:p>
        </w:tc>
        <w:tc>
          <w:tcPr>
            <w:tcW w:w="43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指标/情景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数值/X</w:t>
            </w:r>
          </w:p>
        </w:tc>
        <w:tc>
          <w:tcPr>
            <w:tcW w:w="23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Y/说明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概念预售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4.3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低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养老共创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5.8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中</w:t>
            </w:r>
          </w:p>
        </w:tc>
      </w:tr>
      <w:tr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/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安全降价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6.9</w:t>
            </w:r>
          </w:p>
        </w:tc>
        <w:tc>
          <w:tcPr>
            <w:tcW w:w="2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中高</w:t>
            </w:r>
          </w:p>
        </w:tc>
      </w:tr>
    </w:tbl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解读：</w:t>
      </w:r>
      <w:r>
        <w:rPr>
          <w:rFonts w:ascii="Georgia" w:hAnsi="Georgia" w:eastAsia="Songti SC" w:cs="Georgia"/>
        </w:rPr>
        <w:t xml:space="preserve">如果仍按概念预售推进，需求分数难明显改善；若先验证养老/机构场景并降低能力成本，才可能进入可验证区间。</w:t>
      </w:r>
    </w:p>
    <w:p>
      <w:pPr>
        <w:spacing w:after="110" w:line="315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用 90 天试点证明安全、价格和任务复用，再讨论面向家庭扩大销售。</w:t>
      </w:r>
    </w:p>
    <w:p>
      <w:pPr>
        <w:pStyle w:val="Heading1"/>
        <w:pageBreakBefore/>
        <w:spacing w:before="0" w:after="120" w:line="330" w:lineRule="auto"/>
      </w:pPr>
      <w:r>
        <w:rPr>
          <w:rFonts w:ascii="Georgia" w:hAnsi="Georgia" w:eastAsia="Songti SC" w:cs="Georgia"/>
        </w:rPr>
        <w:t xml:space="preserve">产品概览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产品定义：</w:t>
      </w:r>
      <w:r>
        <w:rPr>
          <w:rFonts w:ascii="Georgia" w:hAnsi="Georgia" w:eastAsia="Songti SC" w:cs="Georgia"/>
        </w:rPr>
        <w:t xml:space="preserve">面向家庭环境的具身智能人形机器人，采用双足或类人移动形态，能通过视觉、语音和机械臂在家中完成取物、整理、提醒、陪伴、巡检、简单家务和智能家居控制等任务。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价值主张：</w:t>
      </w:r>
      <w:r>
        <w:rPr>
          <w:rFonts w:ascii="Georgia" w:hAnsi="Georgia" w:eastAsia="Songti SC" w:cs="Georgia"/>
        </w:rPr>
        <w:t xml:space="preserve">把家庭中反复出现、耗时、分散且难以标准化的家务和照护任务，转化为可委托、可监督、可逐步学习的实体执行能力。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商业模式：</w:t>
      </w:r>
      <w:r>
        <w:rPr>
          <w:rFonts w:ascii="Georgia" w:hAnsi="Georgia" w:eastAsia="Songti SC" w:cs="Georgia"/>
        </w:rPr>
        <w:t xml:space="preserve">硬件销售或租赁 + 月度订阅/RaaS + 远程专家服务 + 家庭安全/养老服务包 + 维保保险 + 与家政、养老、地产和智能家居生态合作。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核心功能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语音对话、家庭成员识别和场景记忆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取物、递送、开门、简单收纳和桌面整理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洗衣、叠衣、厨房辅助等低速家务试点任务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老人陪伴、用药/喝水提醒、跌倒巡检和异常通知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夜间安全巡逻、门窗/燃气/宠物状态检查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与智能门锁、灯光、空调、安防和家庭日历联动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远程专家模式或云端辅助，用于处理超出自主能力的复杂任务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任务日志、隐私授权、安全刹停、儿童/宠物避让和保险责任机制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定价信息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1X 官方 NEO 页面披露早期接入可选择 20000 美元购买或 499 美元/月订阅，并计划 2026 年在美国交付早期订单 [S1]。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Unitree 官方商店显示人形机器人硬件从 4900 美元起到 100000 美元级别不等，但这些型号更多面向开发、展示、科研或行业场景 [S4]。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国内媒体和行业分析普遍认为，真正进入家庭需要把整机价格从数十万元级继续压到约 10 万元人民币或更低，并建立售后、保险和安全标准 [S10]。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家庭服务机器人也可能采用硬件销售 + 订阅、RaaS 租赁、远程专家服务、家政/养老机构共创和保险售后打包模式。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假设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本报告把“人形家用机器人”定义为可进入真实家庭环境的服务机器人，不把工厂搬运、科研竞赛和舞台展示作为主要需求证据。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没有单一品牌输入时，评分以品类需求成立度为对象，而不是评价某一家公司的技术实力。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公开资料中家庭部署数据有限，因此用户口碑和真实留存仍是最弱证据层。</w:t>
      </w:r>
    </w:p>
    <w:p>
      <w:pPr>
        <w:pStyle w:val="Heading1"/>
        <w:spacing w:before="0" w:after="120" w:line="330" w:lineRule="auto"/>
      </w:pPr>
      <w:r>
        <w:rPr>
          <w:rFonts w:ascii="Georgia" w:hAnsi="Georgia" w:eastAsia="Songti SC" w:cs="Georgia"/>
        </w:rPr>
        <w:t xml:space="preserve">研究方法与来源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用户输入为品类方向而非具体 SKU。本报告检索截至 2026-06-12 的官方产品页、行业报告、政策与媒体实测/评论；工业、科研和商用人形机器人只作为能力边界、价格区间和替代方案证据，不把其订单直接等同于家庭购买需求。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图 1：输入 -&gt; 解析 -&gt; 检索 -&gt; 分析 -&gt; 评分 -&gt; 输出。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720"/>
        <w:gridCol w:w="620"/>
        <w:gridCol w:w="1800"/>
        <w:gridCol w:w="5000"/>
        <w:gridCol w:w="1220"/>
      </w:tblGrid>
      <w:tr>
        <w:tc>
          <w:tcPr>
            <w:tcW w:w="72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来源</w:t>
            </w:r>
          </w:p>
        </w:tc>
        <w:tc>
          <w:tcPr>
            <w:tcW w:w="62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等级</w:t>
            </w:r>
          </w:p>
        </w:tc>
        <w:tc>
          <w:tcPr>
            <w:tcW w:w="18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类型</w:t>
            </w:r>
          </w:p>
        </w:tc>
        <w:tc>
          <w:tcPr>
            <w:tcW w:w="50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标题</w:t>
            </w:r>
          </w:p>
        </w:tc>
        <w:tc>
          <w:tcPr>
            <w:tcW w:w="122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日期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product/order page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1X NEO Home Robot Order Page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S2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product page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1X NEO Product Page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S3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product/company page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Figure AI Official Website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S4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product/shop page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Unitree Humanoid Robot Shop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S5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industry report / association press release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IFR: Service Robots See Global Growth Boom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S6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industry report PDF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World Robotics 2025 Service Robots Executive Summary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S7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statistics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国家统计局：2025 年人口数据解读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S8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policy news / official media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新华社：工信部印发人形机器人创新发展指导意见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S9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B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media / industry analysis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新华社瞭望：AI 重塑家政服务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S10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B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official media / industry analysis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数字中国/经济日报：人形机器人何时进入百姓家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S11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B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third-party media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TIME: Figure 03 Humanoid Robot Reveal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S12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B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third-party media / critique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Tom's Guide: NEO Home Robot Privacy and Teleoperation Concerns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S13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B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third-party media / critique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TechRadar: NEO Robot Privacy Concerns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S14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regulatory source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European Commission: AI Act Regulatory Framework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  <w:t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S15</w:t>
            </w:r>
          </w:p>
        </w:tc>
        <w:tc>
          <w:tcPr>
            <w:tcW w:w="6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B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legal reference</w:t>
            </w:r>
          </w:p>
        </w:tc>
        <w:tc>
          <w:tcPr>
            <w:tcW w:w="50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EU AI Act Article 6: Classification Rules for High-Risk AI Systems</w:t>
            </w:r>
          </w:p>
        </w:tc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2026-06-12</w:t>
            </w:r>
          </w:p>
        </w:tc>
      </w:tr>
    </w:tbl>
    <w:p>
      <w:pPr>
        <w:pStyle w:val="Heading1"/>
        <w:pageBreakBefore/>
        <w:spacing w:before="0" w:after="120" w:line="330" w:lineRule="auto"/>
      </w:pPr>
      <w:r>
        <w:rPr>
          <w:rFonts w:ascii="Georgia" w:hAnsi="Georgia" w:eastAsia="Songti SC" w:cs="Georgia"/>
        </w:rPr>
        <w:t xml:space="preserve">目标用户与 JTBD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高端尝鲜家庭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场景：</w:t>
      </w:r>
      <w:r>
        <w:rPr>
          <w:rFonts w:ascii="Georgia" w:hAnsi="Georgia" w:eastAsia="Songti SC" w:cs="Georgia"/>
        </w:rPr>
        <w:t xml:space="preserve">已购买高端智能家居、扫地机、安防设备和新能源车，愿意为前沿科技体验付费。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JTBD：</w:t>
      </w:r>
      <w:r>
        <w:rPr>
          <w:rFonts w:ascii="Georgia" w:hAnsi="Georgia" w:eastAsia="Songti SC" w:cs="Georgia"/>
        </w:rPr>
        <w:t xml:space="preserve">让家里拥有一个可展示、可体验、能做少量实事的未来家庭助手。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当前替代：</w:t>
      </w:r>
      <w:r>
        <w:rPr>
          <w:rFonts w:ascii="Georgia" w:hAnsi="Georgia" w:eastAsia="Songti SC" w:cs="Georgia"/>
        </w:rPr>
        <w:t xml:space="preserve">智能音箱和全屋智能；扫地/洗地/割草机器人；家政服务；不买，继续观望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采用阻碍：</w:t>
      </w:r>
      <w:r>
        <w:rPr>
          <w:rFonts w:ascii="Georgia" w:hAnsi="Georgia" w:eastAsia="Songti SC" w:cs="Georgia"/>
        </w:rPr>
        <w:t xml:space="preserve">价格与实际任务价值不匹配；远程操作和摄像头入户带来的隐私担忧；儿童、宠物和老人场景下的安全责任；售后维护和占用空间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双职工育儿家庭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场景：</w:t>
      </w:r>
      <w:r>
        <w:rPr>
          <w:rFonts w:ascii="Georgia" w:hAnsi="Georgia" w:eastAsia="Songti SC" w:cs="Georgia"/>
        </w:rPr>
        <w:t xml:space="preserve">工作日时间紧张，希望降低打扫、收纳、照看孩子和家庭提醒的负担。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JTBD：</w:t>
      </w:r>
      <w:r>
        <w:rPr>
          <w:rFonts w:ascii="Georgia" w:hAnsi="Georgia" w:eastAsia="Songti SC" w:cs="Georgia"/>
        </w:rPr>
        <w:t xml:space="preserve">减少碎片化家务和提醒任务，让父母下班后少花时间处理琐事。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当前替代：</w:t>
      </w:r>
      <w:r>
        <w:rPr>
          <w:rFonts w:ascii="Georgia" w:hAnsi="Georgia" w:eastAsia="Songti SC" w:cs="Georgia"/>
        </w:rPr>
        <w:t xml:space="preserve">钟点工和保姆；扫地机、洗地机、洗碗机、烘干机；家庭成员分工；儿童看护设备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采用阻碍：</w:t>
      </w:r>
      <w:r>
        <w:rPr>
          <w:rFonts w:ascii="Georgia" w:hAnsi="Georgia" w:eastAsia="Songti SC" w:cs="Georgia"/>
        </w:rPr>
        <w:t xml:space="preserve">不能替代真正育儿和复杂家务；儿童安全风险；学习和设置成本；家庭隐私和噪音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独居或半自理老人家庭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场景：</w:t>
      </w:r>
      <w:r>
        <w:rPr>
          <w:rFonts w:ascii="Georgia" w:hAnsi="Georgia" w:eastAsia="Songti SC" w:cs="Georgia"/>
        </w:rPr>
        <w:t xml:space="preserve">老人需要陪伴、提醒、巡检和简单协助，子女希望远程确认状态。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JTBD：</w:t>
      </w:r>
      <w:r>
        <w:rPr>
          <w:rFonts w:ascii="Georgia" w:hAnsi="Georgia" w:eastAsia="Songti SC" w:cs="Georgia"/>
        </w:rPr>
        <w:t xml:space="preserve">在不长期雇佣护工的情况下，提高老人居家安全感和子女的可知情程度。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当前替代：</w:t>
      </w:r>
      <w:r>
        <w:rPr>
          <w:rFonts w:ascii="Georgia" w:hAnsi="Georgia" w:eastAsia="Songti SC" w:cs="Georgia"/>
        </w:rPr>
        <w:t xml:space="preserve">护工和保姆；智能摄像头、呼叫器和穿戴设备；社区养老服务；养老机构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采用阻碍：</w:t>
      </w:r>
      <w:r>
        <w:rPr>
          <w:rFonts w:ascii="Georgia" w:hAnsi="Georgia" w:eastAsia="Songti SC" w:cs="Georgia"/>
        </w:rPr>
        <w:t xml:space="preserve">老人对机器人形态和操作的接受度；跌倒、服药和突发事件责任边界；隐私和远程监控授权；维护、上门服务和设备故障应急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高净值家庭/家庭管家替代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场景：</w:t>
      </w:r>
      <w:r>
        <w:rPr>
          <w:rFonts w:ascii="Georgia" w:hAnsi="Georgia" w:eastAsia="Songti SC" w:cs="Georgia"/>
        </w:rPr>
        <w:t xml:space="preserve">已有长期家政或管家支出，希望机器人承担夜间巡检、简单服务和可展示任务。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JTBD：</w:t>
      </w:r>
      <w:r>
        <w:rPr>
          <w:rFonts w:ascii="Georgia" w:hAnsi="Georgia" w:eastAsia="Songti SC" w:cs="Georgia"/>
        </w:rPr>
        <w:t xml:space="preserve">把一部分可标准化服务交给机器人，同时提升家庭科技形象和服务连续性。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当前替代：</w:t>
      </w:r>
      <w:r>
        <w:rPr>
          <w:rFonts w:ascii="Georgia" w:hAnsi="Georgia" w:eastAsia="Songti SC" w:cs="Georgia"/>
        </w:rPr>
        <w:t xml:space="preserve">全职保姆/管家；物业管家；智能家居中控；安防服务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采用阻碍：</w:t>
      </w:r>
      <w:r>
        <w:rPr>
          <w:rFonts w:ascii="Georgia" w:hAnsi="Georgia" w:eastAsia="Songti SC" w:cs="Georgia"/>
        </w:rPr>
        <w:t xml:space="preserve">机器人不能处理复杂非标服务；昂贵设备与人工成本的替代账算不清；高端家庭对隐私泄露零容忍；售后响应必须接近家电/汽车级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家政/养老机构共创客户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场景：</w:t>
      </w:r>
      <w:r>
        <w:rPr>
          <w:rFonts w:ascii="Georgia" w:hAnsi="Georgia" w:eastAsia="Songti SC" w:cs="Georgia"/>
        </w:rPr>
        <w:t xml:space="preserve">机构希望通过机器人降低人力压力、展示科技能力，并积累可复制服务流程。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JTBD：</w:t>
      </w:r>
      <w:r>
        <w:rPr>
          <w:rFonts w:ascii="Georgia" w:hAnsi="Georgia" w:eastAsia="Songti SC" w:cs="Georgia"/>
        </w:rPr>
        <w:t xml:space="preserve">先在半结构化环境中验证任务库、成本模型和服务责任，再逐步复制到家庭。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当前替代：</w:t>
      </w:r>
      <w:r>
        <w:rPr>
          <w:rFonts w:ascii="Georgia" w:hAnsi="Georgia" w:eastAsia="Songti SC" w:cs="Georgia"/>
        </w:rPr>
        <w:t xml:space="preserve">服务机器人；呼叫系统和摄像巡检；护工排班系统；人工培训和标准化流程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采用阻碍：</w:t>
      </w:r>
      <w:r>
        <w:rPr>
          <w:rFonts w:ascii="Georgia" w:hAnsi="Georgia" w:eastAsia="Songti SC" w:cs="Georgia"/>
        </w:rPr>
        <w:t xml:space="preserve">采购预算和 ROI；责任事故和保险；员工协同成本；技术展示与真实效率之间的落差</w:t>
      </w:r>
    </w:p>
    <w:p>
      <w:pPr>
        <w:pStyle w:val="Heading1"/>
        <w:spacing w:before="0" w:after="120" w:line="330" w:lineRule="auto"/>
      </w:pPr>
      <w:r>
        <w:rPr>
          <w:rFonts w:ascii="Georgia" w:hAnsi="Georgia" w:eastAsia="Songti SC" w:cs="Georgia"/>
        </w:rPr>
        <w:t xml:space="preserve">竞品与替代方案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1X NEO｜direct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定位：</w:t>
      </w:r>
      <w:r>
        <w:rPr>
          <w:rFonts w:ascii="Georgia" w:hAnsi="Georgia" w:eastAsia="Songti SC" w:cs="Georgia"/>
        </w:rPr>
        <w:t xml:space="preserve">面向家庭的 NEO Home Robot，官方披露购买或订阅方案，并使用 Redwood AI 与 Expert Mode 处理部分复杂任务。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优势：</w:t>
      </w:r>
      <w:r>
        <w:rPr>
          <w:rFonts w:ascii="Georgia" w:hAnsi="Georgia" w:eastAsia="Songti SC" w:cs="Georgia"/>
        </w:rPr>
        <w:t xml:space="preserve">明确面向家庭场景；有官方定价和早期交付计划；远程专家模式可能补足早期自主能力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弱点：</w:t>
      </w:r>
      <w:r>
        <w:rPr>
          <w:rFonts w:ascii="Georgia" w:hAnsi="Georgia" w:eastAsia="Songti SC" w:cs="Georgia"/>
        </w:rPr>
        <w:t xml:space="preserve">价格和订阅成本很高；远程操作引发隐私和信任问题；早期自主能力边界仍需验证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 S2 S12 S13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Figure 03｜direct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定位：</w:t>
      </w:r>
      <w:r>
        <w:rPr>
          <w:rFonts w:ascii="Georgia" w:hAnsi="Georgia" w:eastAsia="Songti SC" w:cs="Georgia"/>
        </w:rPr>
        <w:t xml:space="preserve">Figure 官方强调面向日常场景和家庭环境的通用人形机器人。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优势：</w:t>
      </w:r>
      <w:r>
        <w:rPr>
          <w:rFonts w:ascii="Georgia" w:hAnsi="Georgia" w:eastAsia="Songti SC" w:cs="Georgia"/>
        </w:rPr>
        <w:t xml:space="preserve">品牌和融资关注度高；主张 Helix 能理解家庭环境和处理家务任务；硬件形态更接近通用家用机器人想象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弱点：</w:t>
      </w:r>
      <w:r>
        <w:rPr>
          <w:rFonts w:ascii="Georgia" w:hAnsi="Georgia" w:eastAsia="Songti SC" w:cs="Georgia"/>
        </w:rPr>
        <w:t xml:space="preserve">尚未形成普通家庭可购买产品；媒体测试和披露显示家庭应用仍处于早期；真实家庭数据和任务可靠性不足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S3 S11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Unitree 人形机器人｜indirect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定位：</w:t>
      </w:r>
      <w:r>
        <w:rPr>
          <w:rFonts w:ascii="Georgia" w:hAnsi="Georgia" w:eastAsia="Songti SC" w:cs="Georgia"/>
        </w:rPr>
        <w:t xml:space="preserve">以开发者、科研、展示和行业客户为主的人形机器人硬件平台，价格覆盖较广。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优势：</w:t>
      </w:r>
      <w:r>
        <w:rPr>
          <w:rFonts w:ascii="Georgia" w:hAnsi="Georgia" w:eastAsia="Songti SC" w:cs="Georgia"/>
        </w:rPr>
        <w:t xml:space="preserve">硬件价格区间下降速度快；国内供应链和开发者生态强；对行业教育和能力边界有示范价值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弱点：</w:t>
      </w:r>
      <w:r>
        <w:rPr>
          <w:rFonts w:ascii="Georgia" w:hAnsi="Georgia" w:eastAsia="Songti SC" w:cs="Georgia"/>
        </w:rPr>
        <w:t xml:space="preserve">不是完整家用服务产品；家庭任务、售后、隐私和安全包装不足；消费者购买理由不如行业客户清晰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S4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扫地机、洗地机和智能家居｜substitute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定位：</w:t>
      </w:r>
      <w:r>
        <w:rPr>
          <w:rFonts w:ascii="Georgia" w:hAnsi="Georgia" w:eastAsia="Songti SC" w:cs="Georgia"/>
        </w:rPr>
        <w:t xml:space="preserve">针对单一家庭任务的成熟机器人和智能设备组合。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优势：</w:t>
      </w:r>
      <w:r>
        <w:rPr>
          <w:rFonts w:ascii="Georgia" w:hAnsi="Georgia" w:eastAsia="Songti SC" w:cs="Georgia"/>
        </w:rPr>
        <w:t xml:space="preserve">价格低、效果明确；隐私和安全风险小；已被家庭广泛接受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弱点：</w:t>
      </w:r>
      <w:r>
        <w:rPr>
          <w:rFonts w:ascii="Georgia" w:hAnsi="Georgia" w:eastAsia="Songti SC" w:cs="Georgia"/>
        </w:rPr>
        <w:t xml:space="preserve">不能处理跨房间、多步骤和非结构化家务；陪伴和照护能力有限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S5 S6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人类家政和护工｜manual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定位：</w:t>
      </w:r>
      <w:r>
        <w:rPr>
          <w:rFonts w:ascii="Georgia" w:hAnsi="Georgia" w:eastAsia="Songti SC" w:cs="Georgia"/>
        </w:rPr>
        <w:t xml:space="preserve">最直接满足家务和照护需求的人工服务。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优势：</w:t>
      </w:r>
      <w:r>
        <w:rPr>
          <w:rFonts w:ascii="Georgia" w:hAnsi="Georgia" w:eastAsia="Songti SC" w:cs="Georgia"/>
        </w:rPr>
        <w:t xml:space="preserve">处理非标任务能力强；情绪劳动和照护责任更成熟；可按需购买服务时间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弱点：</w:t>
      </w:r>
      <w:r>
        <w:rPr>
          <w:rFonts w:ascii="Georgia" w:hAnsi="Georgia" w:eastAsia="Songti SC" w:cs="Georgia"/>
        </w:rPr>
        <w:t xml:space="preserve">服务质量不稳定；长期成本高；匹配、培训和信任成本持续存在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S9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不购买/继续等待｜non_consumption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定位：</w:t>
      </w:r>
      <w:r>
        <w:rPr>
          <w:rFonts w:ascii="Georgia" w:hAnsi="Georgia" w:eastAsia="Songti SC" w:cs="Georgia"/>
        </w:rPr>
        <w:t xml:space="preserve">用户把人形家用机器人视为未来产品，但短期不承担价格、隐私和安全风险。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优势：</w:t>
      </w:r>
      <w:r>
        <w:rPr>
          <w:rFonts w:ascii="Georgia" w:hAnsi="Georgia" w:eastAsia="Songti SC" w:cs="Georgia"/>
        </w:rPr>
        <w:t xml:space="preserve">零支出、零入户风险；等待技术成熟和价格下降；继续使用现有设备和人工服务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弱点：</w:t>
      </w:r>
      <w:r>
        <w:rPr>
          <w:rFonts w:ascii="Georgia" w:hAnsi="Georgia" w:eastAsia="Songti SC" w:cs="Georgia"/>
        </w:rPr>
        <w:t xml:space="preserve">无法获得早期自动化和陪伴体验；不能解决家务和照护人力缺口</w:t>
      </w:r>
    </w:p>
    <w:p>
      <w:pPr>
        <w:pStyle w:val="Heading1"/>
        <w:pageBreakBefore/>
        <w:spacing w:before="0" w:after="120" w:line="330" w:lineRule="auto"/>
      </w:pPr>
      <w:r>
        <w:rPr>
          <w:rFonts w:ascii="Georgia" w:hAnsi="Georgia" w:eastAsia="Songti SC" w:cs="Georgia"/>
        </w:rPr>
        <w:t xml:space="preserve">需求三角分析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图 2：缺乏感、目标物和消费者能力共同决定需求成立概率；任一维度明显缺失，总分都会下降。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缺乏感：6.7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推理：缺乏感真实存在，但它首先指向家务和照护问题，而不是必然指向人形形态。老龄化、家政服务成本和家庭自动化趋势让长期需求有基础；短期弱点在于用户对“现在就买一台类人机器人进家”的迫切性和付费意愿不足。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支持证据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中国 60 岁及以上人口已超过 3.2 亿，老龄化与家庭照护压力构成长期需求底盘 [S7]。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国内家政服务市场规模和从业人数庞大，且存在匹配、标准化和培训成本问题，说明家庭服务确实有持续痛点 [S9]。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IFR 数据显示消费服务机器人接近 2000 万台年销量，家庭任务类占比极高，家庭自动化意愿已经被单任务机器人验证 [S5][S6]。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政策层面明确把人形机器人视为战略产品，并提到未来拓展到医疗、家政、民生服务等场景 [S8]。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反证或缺口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家庭并不一定缺“人形机器人”，很多家庭只缺更便宜可靠的扫地、收纳、照护提醒或家政服务。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完整人形机器人属于高价、低频、强信任产品，用户紧迫性明显低于刚需家电和人工服务。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IFR 同期数据显示 care-at-home 机器人登记销量很低，家庭照护型机器人并未被大规模购买验证 [S6]。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改进路径：把宏大的家用机器人愿景拆成高频、可量化、低风险的场景：老人夜间巡检、取物递送、用药提醒、异常通知、简单整理，并用真实家庭试点证明用户愿意为这些任务持续付费。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目标物：5.6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推理：目标物有强想象和一定产品雏形，但距离“家庭购买后稳定完成核心任务”还有明显证据缺口。它更像早期通用平台，而不是已经被充分证明的家用产品。当前最有机会的目标物不是“全能机器人”，而是“可监管的家庭任务执行终端”。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支持证据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1X NEO 和 Figure 03 都把家庭、日常任务和家务协助作为公开叙事，说明目标物方向清晰 [S1][S2][S3]。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人形形态相对单任务机器人有跨房间、使用人类工具、与家庭成员互动的差异化想象。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Unitree 等平台把硬件价格和可获得性向下推进，但更多仍是开发和行业硬件，不等同于完整家庭产品 [S4]。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反证或缺口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公开资料显示家庭场景下的完整自主能力仍不成熟，部分复杂任务需要远程专家或人工遥操作 [S1][S2][S11][S12]。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单任务家电和人工家政在大多数家庭任务上更便宜、更确定、更容易被接受。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“类人形态”带来展示价值，也带来机械安全、空间占用、恐惧感和隐私审查成本。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改进路径：把目标物从全能管家重定位为可解释、可授权、可远程接管的家庭任务机器人；先证明 5 个任务的完成率、失败恢复、用户复用率和事故率，再扩展通用家务。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消费者能力：3.5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推理：消费者能力是当前最大短板。即使需求愿望和产品叙事成立，家庭要把一个带摄像头、机械臂、可能远程接管的昂贵设备放进私密空间，需要同时跨过金钱、信任、安全、维护和责任边界。普通家庭短期很难承受这组成本。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支持证据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1X NEO 官方披露的购买价和订阅价对普通家庭仍属高门槛 [S1]。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行业观点认为人形机器人进入家庭还需要价格下降、安全稳定、标准、保险、维护和生态配套 [S10]。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媒体对 NEO 的评论集中质疑远程操作和家庭数据隐私，这会显著推高信任成本 [S12][S13]。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欧盟 AI Act 等风险监管框架显示，具备物理交互和安全影响的 AI 产品需要更严格的风险治理 [S14][S15]。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反证或缺口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高端尝鲜家庭和机构客户能承受更高价格，并愿意为展示、陪伴或服务创新付费。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订阅/RaaS、押金可退、保险和上门维保可降低一次性购买阻力。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如果机器人只进入半结构化空间或限定任务，安全和隐私成本可以被局部压低。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改进路径：不要先要求普通家庭购买整机；先用机构共创、押金试用、月租保险包、本地隐私模式、清晰遥操作授权和有限任务库降低能力成本。</w:t>
      </w:r>
    </w:p>
    <w:p>
      <w:pPr>
        <w:pStyle w:val="Heading1"/>
        <w:spacing w:before="0" w:after="120" w:line="330" w:lineRule="auto"/>
      </w:pPr>
      <w:r>
        <w:rPr>
          <w:rFonts w:ascii="Georgia" w:hAnsi="Georgia" w:eastAsia="Songti SC" w:cs="Georgia"/>
        </w:rPr>
        <w:t xml:space="preserve">评分与解释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2500"/>
        <w:gridCol w:w="6860"/>
      </w:tblGrid>
      <w:tr>
        <w:tc>
          <w:tcPr>
            <w:tcW w:w="2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维度</w:t>
            </w:r>
          </w:p>
        </w:tc>
        <w:tc>
          <w:tcPr>
            <w:tcW w:w="68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分数</w:t>
            </w:r>
          </w:p>
        </w:tc>
      </w:tr>
      <w:tr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缺乏感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6.7</w:t>
            </w:r>
          </w:p>
        </w:tc>
      </w:tr>
      <w:tr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目标物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5.6</w:t>
            </w:r>
          </w:p>
        </w:tc>
      </w:tr>
      <w:tr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消费者能力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3.5</w:t>
            </w:r>
          </w:p>
        </w:tc>
      </w:tr>
      <w:tr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证据信心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0.82</w:t>
            </w:r>
          </w:p>
        </w:tc>
      </w:tr>
      <w:tr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总分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4.3</w:t>
            </w:r>
          </w:p>
        </w:tc>
      </w:tr>
    </w:tbl>
    <w:p>
      <w:pPr>
        <w:pStyle w:val="Heading1"/>
        <w:pageBreakBefore/>
        <w:spacing w:before="0" w:after="120" w:line="330" w:lineRule="auto"/>
      </w:pPr>
      <w:r>
        <w:rPr>
          <w:rFonts w:ascii="Georgia" w:hAnsi="Georgia" w:eastAsia="Songti SC" w:cs="Georgia"/>
        </w:rPr>
        <w:t xml:space="preserve">建议与实验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P0｜入口市场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不要把首个商业化目标定义为普通家庭全能管家，应重定位为高端家庭试点、养老陪护 MVP 和家政/养老机构共创。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理由：</w:t>
      </w:r>
      <w:r>
        <w:rPr>
          <w:rFonts w:ascii="Georgia" w:hAnsi="Georgia" w:eastAsia="Songti SC" w:cs="Georgia"/>
        </w:rPr>
        <w:t xml:space="preserve">普通家庭的金钱、信任和安全门槛过高；机构和高端家庭更能承受早期产品的不确定性。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预期影响：</w:t>
      </w:r>
      <w:r>
        <w:rPr>
          <w:rFonts w:ascii="Georgia" w:hAnsi="Georgia" w:eastAsia="Songti SC" w:cs="Georgia"/>
        </w:rPr>
        <w:t xml:space="preserve">提高试点成交率和有效反馈密度，减少因能力落差造成的品牌损伤。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成本：</w:t>
      </w:r>
      <w:r>
        <w:rPr>
          <w:rFonts w:ascii="Georgia" w:hAnsi="Georgia" w:eastAsia="Songti SC" w:cs="Georgia"/>
        </w:rPr>
        <w:t xml:space="preserve">中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P0｜隐私与安全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把本地隐私模式、远程接管可见提示、数据用途开关、物理急停、儿童/宠物安全和保险责任写进产品默认体验。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理由：</w:t>
      </w:r>
      <w:r>
        <w:rPr>
          <w:rFonts w:ascii="Georgia" w:hAnsi="Georgia" w:eastAsia="Songti SC" w:cs="Georgia"/>
        </w:rPr>
        <w:t xml:space="preserve">家庭场景不是办公室或工厂，隐私和物理安全是购买前置条件。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预期影响：</w:t>
      </w:r>
      <w:r>
        <w:rPr>
          <w:rFonts w:ascii="Georgia" w:hAnsi="Georgia" w:eastAsia="Songti SC" w:cs="Georgia"/>
        </w:rPr>
        <w:t xml:space="preserve">降低入户许可阻力，提升家庭成员共同决策通过率。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成本：</w:t>
      </w:r>
      <w:r>
        <w:rPr>
          <w:rFonts w:ascii="Georgia" w:hAnsi="Georgia" w:eastAsia="Songti SC" w:cs="Georgia"/>
        </w:rPr>
        <w:t xml:space="preserve">高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P1｜任务库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先固定 5 个低风险高频任务：取物递送、用药/喝水提醒、夜间巡检、简单整理、智能家居联动。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理由：</w:t>
      </w:r>
      <w:r>
        <w:rPr>
          <w:rFonts w:ascii="Georgia" w:hAnsi="Georgia" w:eastAsia="Songti SC" w:cs="Georgia"/>
        </w:rPr>
        <w:t xml:space="preserve">有限任务可以被定义、测试和改进，比“全能家务”更容易形成真实购买理由。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预期影响：</w:t>
      </w:r>
      <w:r>
        <w:rPr>
          <w:rFonts w:ascii="Georgia" w:hAnsi="Georgia" w:eastAsia="Songti SC" w:cs="Georgia"/>
        </w:rPr>
        <w:t xml:space="preserve">提高用户对实际价值的感知，并形成可复用的家庭任务数据。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成本：</w:t>
      </w:r>
      <w:r>
        <w:rPr>
          <w:rFonts w:ascii="Georgia" w:hAnsi="Georgia" w:eastAsia="Songti SC" w:cs="Georgia"/>
        </w:rPr>
        <w:t xml:space="preserve">中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P1｜价格模型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采用押金可退、短期租赁、含保险和维保的 RaaS，而不是要求用户一次性承担整机购买。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理由：</w:t>
      </w:r>
      <w:r>
        <w:rPr>
          <w:rFonts w:ascii="Georgia" w:hAnsi="Georgia" w:eastAsia="Songti SC" w:cs="Georgia"/>
        </w:rPr>
        <w:t xml:space="preserve">人形家用机器人价格和故障风险都高，租赁和保障能降低试错成本。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预期影响：</w:t>
      </w:r>
      <w:r>
        <w:rPr>
          <w:rFonts w:ascii="Georgia" w:hAnsi="Georgia" w:eastAsia="Songti SC" w:cs="Georgia"/>
        </w:rPr>
        <w:t xml:space="preserve">扩大可试用人群，并提升真实需求验证速度。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成本：</w:t>
      </w:r>
      <w:r>
        <w:rPr>
          <w:rFonts w:ascii="Georgia" w:hAnsi="Georgia" w:eastAsia="Songti SC" w:cs="Georgia"/>
        </w:rPr>
        <w:t xml:space="preserve">中高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P1｜渠道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优先绑定养老机构、家政公司、高端物业和智能家居集成商，构建半结构化试点场景。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理由：</w:t>
      </w:r>
      <w:r>
        <w:rPr>
          <w:rFonts w:ascii="Georgia" w:hAnsi="Georgia" w:eastAsia="Songti SC" w:cs="Georgia"/>
        </w:rPr>
        <w:t xml:space="preserve">这些渠道能提供明确场景、维护能力和责任接口，比直接卖给散户更稳。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预期影响：</w:t>
      </w:r>
      <w:r>
        <w:rPr>
          <w:rFonts w:ascii="Georgia" w:hAnsi="Georgia" w:eastAsia="Songti SC" w:cs="Georgia"/>
        </w:rPr>
        <w:t xml:space="preserve">降低落地复杂度，形成家庭销售前的示范案例。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成本：</w:t>
      </w:r>
      <w:r>
        <w:rPr>
          <w:rFonts w:ascii="Georgia" w:hAnsi="Georgia" w:eastAsia="Songti SC" w:cs="Georgia"/>
        </w:rPr>
        <w:t xml:space="preserve">中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P2｜证据建设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建议：</w:t>
      </w:r>
      <w:r>
        <w:rPr>
          <w:rFonts w:ascii="Georgia" w:hAnsi="Georgia" w:eastAsia="Songti SC" w:cs="Georgia"/>
        </w:rPr>
        <w:t xml:space="preserve">公开家庭场景测试基准：任务完成率、失败恢复时间、误触发率、隐私授权率、30 天复用率和事故率。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理由：</w:t>
      </w:r>
      <w:r>
        <w:rPr>
          <w:rFonts w:ascii="Georgia" w:hAnsi="Georgia" w:eastAsia="Songti SC" w:cs="Georgia"/>
        </w:rPr>
        <w:t xml:space="preserve">当前证据偏供给侧，用户需要看到家庭真实环境下的可重复结果。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预期影响：</w:t>
      </w:r>
      <w:r>
        <w:rPr>
          <w:rFonts w:ascii="Georgia" w:hAnsi="Georgia" w:eastAsia="Songti SC" w:cs="Georgia"/>
        </w:rPr>
        <w:t xml:space="preserve">提升目标物证明强度，为下一轮融资、渠道和销售提供可信材料。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成本：</w:t>
      </w:r>
      <w:r>
        <w:rPr>
          <w:rFonts w:ascii="Georgia" w:hAnsi="Georgia" w:eastAsia="Songti SC" w:cs="Georgia"/>
        </w:rPr>
        <w:t xml:space="preserve">中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验证实验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实验 1｜高端尝鲜家庭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假设：</w:t>
      </w:r>
      <w:r>
        <w:rPr>
          <w:rFonts w:ascii="Georgia" w:hAnsi="Georgia" w:eastAsia="Songti SC" w:cs="Georgia"/>
        </w:rPr>
        <w:t xml:space="preserve">高净值家庭愿意为可监管的家庭任务机器人支付月租，而不是购买高价整机。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方法：</w:t>
      </w:r>
      <w:r>
        <w:rPr>
          <w:rFonts w:ascii="Georgia" w:hAnsi="Georgia" w:eastAsia="Songti SC" w:cs="Georgia"/>
        </w:rPr>
        <w:t xml:space="preserve">30 户深访 + 价格敏感度 fake-door 页面 + 可退押金测试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指标：</w:t>
      </w:r>
      <w:r>
        <w:rPr>
          <w:rFonts w:ascii="Georgia" w:hAnsi="Georgia" w:eastAsia="Songti SC" w:cs="Georgia"/>
        </w:rPr>
        <w:t xml:space="preserve">押金转化率、愿意月租区间、隐私条款接受率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阈值：</w:t>
      </w:r>
      <w:r>
        <w:rPr>
          <w:rFonts w:ascii="Georgia" w:hAnsi="Georgia" w:eastAsia="Songti SC" w:cs="Georgia"/>
        </w:rPr>
        <w:t xml:space="preserve">可退押金转化率达到 8% 以上，且 30% 以上样本接受 3000 元/月以上服务包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决策规则：</w:t>
      </w:r>
      <w:r>
        <w:rPr>
          <w:rFonts w:ascii="Georgia" w:hAnsi="Georgia" w:eastAsia="Songti SC" w:cs="Georgia"/>
        </w:rPr>
        <w:t xml:space="preserve">未达阈值则停止直接家庭预售，转向机构共创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实验 2｜独居或半自理老人家庭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假设：</w:t>
      </w:r>
      <w:r>
        <w:rPr>
          <w:rFonts w:ascii="Georgia" w:hAnsi="Georgia" w:eastAsia="Songti SC" w:cs="Georgia"/>
        </w:rPr>
        <w:t xml:space="preserve">老人家庭更愿意购买夜间巡检和异常通知，而不是抽象陪伴。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方法：</w:t>
      </w:r>
      <w:r>
        <w:rPr>
          <w:rFonts w:ascii="Georgia" w:hAnsi="Georgia" w:eastAsia="Songti SC" w:cs="Georgia"/>
        </w:rPr>
        <w:t xml:space="preserve">20 户老人家庭 Wizard-of-Oz 试点，机器人部分任务由人工遥操作模拟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指标：</w:t>
      </w:r>
      <w:r>
        <w:rPr>
          <w:rFonts w:ascii="Georgia" w:hAnsi="Georgia" w:eastAsia="Songti SC" w:cs="Georgia"/>
        </w:rPr>
        <w:t xml:space="preserve">任务复用率、老人抵触率、子女付费意愿、异常通知信任度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阈值：</w:t>
      </w:r>
      <w:r>
        <w:rPr>
          <w:rFonts w:ascii="Georgia" w:hAnsi="Georgia" w:eastAsia="Songti SC" w:cs="Georgia"/>
        </w:rPr>
        <w:t xml:space="preserve">30 天内每户每周复用 4 次以上，子女愿付费比例超过 40%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决策规则：</w:t>
      </w:r>
      <w:r>
        <w:rPr>
          <w:rFonts w:ascii="Georgia" w:hAnsi="Georgia" w:eastAsia="Songti SC" w:cs="Georgia"/>
        </w:rPr>
        <w:t xml:space="preserve">若复用集中在巡检和提醒，则优先养老安全 MVP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实验 3｜双职工育儿家庭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假设：</w:t>
      </w:r>
      <w:r>
        <w:rPr>
          <w:rFonts w:ascii="Georgia" w:hAnsi="Georgia" w:eastAsia="Songti SC" w:cs="Georgia"/>
        </w:rPr>
        <w:t xml:space="preserve">透明遥操作和本地隐私控制能显著提升入户接受率。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方法：</w:t>
      </w:r>
      <w:r>
        <w:rPr>
          <w:rFonts w:ascii="Georgia" w:hAnsi="Georgia" w:eastAsia="Songti SC" w:cs="Georgia"/>
        </w:rPr>
        <w:t xml:space="preserve">A/B 展示三种隐私方案：默认云端、可见遥操作、本地优先且可撤销授权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指标：</w:t>
      </w:r>
      <w:r>
        <w:rPr>
          <w:rFonts w:ascii="Georgia" w:hAnsi="Georgia" w:eastAsia="Songti SC" w:cs="Georgia"/>
        </w:rPr>
        <w:t xml:space="preserve">入户同意率、儿童场景接受率、数据上传授权率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阈值：</w:t>
      </w:r>
      <w:r>
        <w:rPr>
          <w:rFonts w:ascii="Georgia" w:hAnsi="Georgia" w:eastAsia="Songti SC" w:cs="Georgia"/>
        </w:rPr>
        <w:t xml:space="preserve">本地优先方案的入户同意率比默认云端高 30% 以上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决策规则：</w:t>
      </w:r>
      <w:r>
        <w:rPr>
          <w:rFonts w:ascii="Georgia" w:hAnsi="Georgia" w:eastAsia="Songti SC" w:cs="Georgia"/>
        </w:rPr>
        <w:t xml:space="preserve">若差异显著，则把本地隐私控制作为核心卖点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实验 4｜家政/养老机构共创客户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假设：</w:t>
      </w:r>
      <w:r>
        <w:rPr>
          <w:rFonts w:ascii="Georgia" w:hAnsi="Georgia" w:eastAsia="Songti SC" w:cs="Georgia"/>
        </w:rPr>
        <w:t xml:space="preserve">家政/养老机构可以先承接早期机器人维护和任务标准化。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方法：</w:t>
      </w:r>
      <w:r>
        <w:rPr>
          <w:rFonts w:ascii="Georgia" w:hAnsi="Georgia" w:eastAsia="Songti SC" w:cs="Georgia"/>
        </w:rPr>
        <w:t xml:space="preserve">2 家机构 60 天试点，比较机器人辅助前后的巡检、人力响应和客户满意度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指标：</w:t>
      </w:r>
      <w:r>
        <w:rPr>
          <w:rFonts w:ascii="Georgia" w:hAnsi="Georgia" w:eastAsia="Songti SC" w:cs="Georgia"/>
        </w:rPr>
        <w:t xml:space="preserve">人均服务时长下降、故障响应时间、机构续租意愿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阈值：</w:t>
      </w:r>
      <w:r>
        <w:rPr>
          <w:rFonts w:ascii="Georgia" w:hAnsi="Georgia" w:eastAsia="Songti SC" w:cs="Georgia"/>
        </w:rPr>
        <w:t xml:space="preserve">单项流程节省 15% 以上人力时间，机构愿意续租或共同采购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决策规则：</w:t>
      </w:r>
      <w:r>
        <w:rPr>
          <w:rFonts w:ascii="Georgia" w:hAnsi="Georgia" w:eastAsia="Songti SC" w:cs="Georgia"/>
        </w:rPr>
        <w:t xml:space="preserve">达标则优先 B2B2C 渠道，不达标则缩小任务范围</w:t>
      </w:r>
    </w:p>
    <w:p>
      <w:pPr>
        <w:pStyle w:val="Heading3"/>
        <w:spacing w:before="0" w:after="120" w:line="330" w:lineRule="auto"/>
      </w:pPr>
      <w:r>
        <w:rPr>
          <w:rFonts w:ascii="Georgia" w:hAnsi="Georgia" w:eastAsia="Songti SC" w:cs="Georgia"/>
        </w:rPr>
        <w:t xml:space="preserve">实验 5｜高净值家庭/家庭管家替代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假设：</w:t>
      </w:r>
      <w:r>
        <w:rPr>
          <w:rFonts w:ascii="Georgia" w:hAnsi="Georgia" w:eastAsia="Songti SC" w:cs="Georgia"/>
        </w:rPr>
        <w:t xml:space="preserve">用户更愿意为结果付费，而不是为人形硬件本身付费。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方法：</w:t>
      </w:r>
      <w:r>
        <w:rPr>
          <w:rFonts w:ascii="Georgia" w:hAnsi="Georgia" w:eastAsia="Songti SC" w:cs="Georgia"/>
        </w:rPr>
        <w:t xml:space="preserve">比较三种报价：整机购买、月租硬件、按任务/安全服务包收费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指标：</w:t>
      </w:r>
      <w:r>
        <w:rPr>
          <w:rFonts w:ascii="Georgia" w:hAnsi="Georgia" w:eastAsia="Songti SC" w:cs="Georgia"/>
        </w:rPr>
        <w:t xml:space="preserve">报价偏好、拒绝原因、可接受服务等级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阈值：</w:t>
      </w:r>
      <w:r>
        <w:rPr>
          <w:rFonts w:ascii="Georgia" w:hAnsi="Georgia" w:eastAsia="Songti SC" w:cs="Georgia"/>
        </w:rPr>
        <w:t xml:space="preserve">服务包偏好超过整机购买 2 倍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决策规则：</w:t>
      </w:r>
      <w:r>
        <w:rPr>
          <w:rFonts w:ascii="Georgia" w:hAnsi="Georgia" w:eastAsia="Songti SC" w:cs="Georgia"/>
        </w:rPr>
        <w:t xml:space="preserve">若成立，则销售话术从硬件参数改为服务结果和责任保障</w:t>
      </w:r>
    </w:p>
    <w:p>
      <w:pPr>
        <w:pStyle w:val="Heading1"/>
        <w:spacing w:before="0" w:after="120" w:line="330" w:lineRule="auto"/>
      </w:pPr>
      <w:r>
        <w:rPr>
          <w:rFonts w:ascii="Georgia" w:hAnsi="Georgia" w:eastAsia="Songti SC" w:cs="Georgia"/>
        </w:rPr>
        <w:t xml:space="preserve">风险与伦理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高风险｜隐私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风险：</w:t>
      </w:r>
      <w:r>
        <w:rPr>
          <w:rFonts w:ascii="Georgia" w:hAnsi="Georgia" w:eastAsia="Songti SC" w:cs="Georgia"/>
        </w:rPr>
        <w:t xml:space="preserve">摄像头、麦克风、家庭地图和远程操作会让用户担心私人空间被记录或外部人员访问。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缓释：</w:t>
      </w:r>
      <w:r>
        <w:rPr>
          <w:rFonts w:ascii="Georgia" w:hAnsi="Georgia" w:eastAsia="Songti SC" w:cs="Georgia"/>
        </w:rPr>
        <w:t xml:space="preserve">默认本地处理敏感数据；远程操作必须显著提示、授权、可回放审计，并允许用户一键关闭。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S12 S13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高风险｜安全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风险：</w:t>
      </w:r>
      <w:r>
        <w:rPr>
          <w:rFonts w:ascii="Georgia" w:hAnsi="Georgia" w:eastAsia="Songti SC" w:cs="Georgia"/>
        </w:rPr>
        <w:t xml:space="preserve">机械臂、移动底盘和双足运动可能对儿童、老人、宠物和家具造成伤害。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缓释：</w:t>
      </w:r>
      <w:r>
        <w:rPr>
          <w:rFonts w:ascii="Georgia" w:hAnsi="Georgia" w:eastAsia="Songti SC" w:cs="Georgia"/>
        </w:rPr>
        <w:t xml:space="preserve">限定速度和力矩，建立家庭安全区、急停按钮、碰撞日志和第三方保险。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S10 S15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高风险｜能力落差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风险：</w:t>
      </w:r>
      <w:r>
        <w:rPr>
          <w:rFonts w:ascii="Georgia" w:hAnsi="Georgia" w:eastAsia="Songti SC" w:cs="Georgia"/>
        </w:rPr>
        <w:t xml:space="preserve">宣传中的全能家务与真实家庭非结构化环境之间存在巨大落差，容易造成退货和口碑反噬。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缓释：</w:t>
      </w:r>
      <w:r>
        <w:rPr>
          <w:rFonts w:ascii="Georgia" w:hAnsi="Georgia" w:eastAsia="Songti SC" w:cs="Georgia"/>
        </w:rPr>
        <w:t xml:space="preserve">只承诺通过测试的有限任务；所有演示标注自主、半自主或远程辅助状态。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 S2 S11 S12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高风险｜价格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风险：</w:t>
      </w:r>
      <w:r>
        <w:rPr>
          <w:rFonts w:ascii="Georgia" w:hAnsi="Georgia" w:eastAsia="Songti SC" w:cs="Georgia"/>
        </w:rPr>
        <w:t xml:space="preserve">整机和订阅价格过高，用户很难把价值与家政、护工、扫地机等替代方案算清楚。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缓释：</w:t>
      </w:r>
      <w:r>
        <w:rPr>
          <w:rFonts w:ascii="Georgia" w:hAnsi="Georgia" w:eastAsia="Songti SC" w:cs="Georgia"/>
        </w:rPr>
        <w:t xml:space="preserve">提供租赁、押金试用、分任务服务包和明确的人工替代成本对比。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 S4 S10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中风险｜售后责任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风险：</w:t>
      </w:r>
      <w:r>
        <w:rPr>
          <w:rFonts w:ascii="Georgia" w:hAnsi="Georgia" w:eastAsia="Songti SC" w:cs="Georgia"/>
        </w:rPr>
        <w:t xml:space="preserve">家庭机器人故障需要上门维护、备用方案和事故处理，传统电子产品售后不足以覆盖。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缓释：</w:t>
      </w:r>
      <w:r>
        <w:rPr>
          <w:rFonts w:ascii="Georgia" w:hAnsi="Georgia" w:eastAsia="Songti SC" w:cs="Georgia"/>
        </w:rPr>
        <w:t xml:space="preserve">用汽车/家电级维保网络、备用设备和 SLA 合同支撑早期客户。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S10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中风险｜监管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风险：</w:t>
      </w:r>
      <w:r>
        <w:rPr>
          <w:rFonts w:ascii="Georgia" w:hAnsi="Georgia" w:eastAsia="Songti SC" w:cs="Georgia"/>
        </w:rPr>
        <w:t xml:space="preserve">具备物理交互和安全影响的 AI 产品可能面临高风险 AI、产品安全、数据合规和责任认定要求。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缓释：</w:t>
      </w:r>
      <w:r>
        <w:rPr>
          <w:rFonts w:ascii="Georgia" w:hAnsi="Georgia" w:eastAsia="Songti SC" w:cs="Georgia"/>
        </w:rPr>
        <w:t xml:space="preserve">从试点阶段就建立风险评估、数据治理、日志审计和第三方安全认证。</w:t>
      </w:r>
    </w:p>
    <w:p>
      <w:pPr>
        <w:spacing w:after="95" w:line="310" w:lineRule="auto"/>
      </w:pPr>
      <w:r>
        <w:rPr>
          <w:rFonts w:ascii="Georgia" w:hAnsi="Georgia" w:eastAsia="Songti SC" w:cs="Georgia"/>
          <w:b/>
          <w:color w:val="1B365D"/>
        </w:rPr>
        <w:t xml:space="preserve">来源：</w:t>
      </w:r>
      <w:r>
        <w:rPr>
          <w:rFonts w:ascii="Georgia" w:hAnsi="Georgia" w:eastAsia="Songti SC" w:cs="Georgia"/>
        </w:rPr>
        <w:t xml:space="preserve">S14 S15</w:t>
      </w:r>
    </w:p>
    <w:p>
      <w:pPr>
        <w:pStyle w:val="Heading1"/>
        <w:pageBreakBefore/>
        <w:spacing w:before="0" w:after="120" w:line="330" w:lineRule="auto"/>
      </w:pPr>
      <w:r>
        <w:rPr>
          <w:rFonts w:ascii="Georgia" w:hAnsi="Georgia" w:eastAsia="Songti SC" w:cs="Georgia"/>
        </w:rPr>
        <w:t xml:space="preserve">预测情景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预测窗口：未来 12-24 个月，以中国一二线城市高收入家庭和机构试点为主要观察窗口；置信度：0.73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复盘触发：当出现 1000 户以上真实家庭部署、30 天留存和任务完成率公开数据，或出现低于 10 万元人民币且含维保保险的可靠家用型号时，应重新评分。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700"/>
        <w:gridCol w:w="1100"/>
        <w:gridCol w:w="1500"/>
        <w:gridCol w:w="5060"/>
      </w:tblGrid>
      <w:tr>
        <w:tc>
          <w:tcPr>
            <w:tcW w:w="17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情景</w:t>
            </w:r>
          </w:p>
        </w:tc>
        <w:tc>
          <w:tcPr>
            <w:tcW w:w="11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预测分数</w:t>
            </w:r>
          </w:p>
        </w:tc>
        <w:tc>
          <w:tcPr>
            <w:tcW w:w="15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采用可能性</w:t>
            </w:r>
          </w:p>
        </w:tc>
        <w:tc>
          <w:tcPr>
            <w:tcW w:w="50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关键假设</w:t>
            </w:r>
          </w:p>
        </w:tc>
      </w:tr>
      <w:t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概念预售继续推进</w:t>
            </w:r>
          </w:p>
        </w:tc>
        <w:tc>
          <w:tcPr>
            <w:tcW w:w="1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4.3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低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继续以全能家务和未来家庭为主叙事；价格、隐私、遥操作和任务完成率没有透明改善；用户更多围观和试用，普通家庭购买转化低</w:t>
            </w:r>
          </w:p>
        </w:tc>
      </w:tr>
      <w:t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养老/机构共创优先</w:t>
            </w:r>
          </w:p>
        </w:tc>
        <w:tc>
          <w:tcPr>
            <w:tcW w:w="1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5.8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中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先在养老、家政和高端物业中验证巡检、提醒、递送任务；采用租赁和保险服务包降低购买门槛；积累可公开的家庭任务基准和真实复用数据</w:t>
            </w:r>
          </w:p>
        </w:tc>
      </w:tr>
      <w:tr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安全、价格和能力同时改善</w:t>
            </w:r>
          </w:p>
        </w:tc>
        <w:tc>
          <w:tcPr>
            <w:tcW w:w="1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6.9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中高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整机或服务包价格显著下降；本地隐私、远程授权、物理安全和售后责任成为行业默认配置；至少 5 个家庭任务在 30 天试点中证明高复用和低事故率</w:t>
            </w:r>
          </w:p>
        </w:tc>
      </w:tr>
    </w:tbl>
    <w:p>
      <w:pPr>
        <w:pStyle w:val="Heading1"/>
        <w:spacing w:before="0" w:after="120" w:line="330" w:lineRule="auto"/>
      </w:pPr>
      <w:r>
        <w:rPr>
          <w:rFonts w:ascii="Georgia" w:hAnsi="Georgia" w:eastAsia="Songti SC" w:cs="Georgia"/>
        </w:rPr>
        <w:t xml:space="preserve">最终方案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最终判断：人形家用机器人不是没有需求，而是当前需求被消费者能力短板压住。现阶段不宜按普通消费电子直接规模化销售，应先做重定位：从全能家庭管家转向可监管的高价值家庭任务机器人。</w:t>
      </w:r>
    </w:p>
    <w:p>
      <w:pPr>
        <w:spacing w:before="0" w:after="120" w:line="330" w:lineRule="auto"/>
      </w:pPr>
      <w:r>
        <w:rPr>
          <w:rFonts w:ascii="Georgia" w:hAnsi="Georgia" w:eastAsia="Songti SC" w:cs="Georgia"/>
        </w:rPr>
        <w:t xml:space="preserve">总体策略：用高端家庭和机构共创证明有限任务价值，用隐私安全和租赁服务降低入户门槛，再逐步扩大家庭任务边界。</w:t>
      </w:r>
    </w:p>
    <w:tbl>
      <w:tblPr>
        <w:tblStyle w:val="TableGrid"/>
        <w:tblW w:w="9360" w:type="dxa"/>
        <w:tblLayout w:type="fixed"/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7760"/>
      </w:tblGrid>
      <w:tr>
        <w:tc>
          <w:tcPr>
            <w:tcW w:w="160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阶段</w:t>
            </w:r>
          </w:p>
        </w:tc>
        <w:tc>
          <w:tcPr>
            <w:tcW w:w="7760" w:type="dxa"/>
            <w:shd w:fill="F7F7F4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Header"/>
              <w:spacing w:before="0" w:after="20" w:line="250" w:lineRule="auto"/>
            </w:pPr>
            <w:r>
              <w:rPr>
                <w:rFonts w:ascii="Georgia" w:hAnsi="Georgia" w:eastAsia="Songti SC" w:cs="Georgia"/>
                <w:b/>
                <w:color w:val="3D3D3A"/>
                <w:sz w:val="17"/>
              </w:rPr>
              <w:t xml:space="preserve">动作</w:t>
            </w:r>
          </w:p>
        </w:tc>
      </w:tr>
      <w:tr>
        <w:tc>
          <w:tcPr>
            <w:tcW w:w="1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未来 30 天</w:t>
            </w:r>
          </w:p>
        </w:tc>
        <w:tc>
          <w:tcPr>
            <w:tcW w:w="7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明确首版家庭任务范围，只保留取物递送、夜间巡检、用药/喝水提醒、简单整理和智能家居联动。；完成 30 户目标家庭深访，分别覆盖高端尝鲜、双职工育儿、老人家庭和已有家政支出的家庭。；设计隐私与遥操作协议原型，包括可见提示、本地优先、授权撤销、数据日志和一键关停。；制作三种价格方案 fake-door 页面：整机购买、月租/RaaS、按服务包付费。</w:t>
            </w:r>
          </w:p>
        </w:tc>
      </w:tr>
      <w:tr>
        <w:tc>
          <w:tcPr>
            <w:tcW w:w="1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未来 60 天</w:t>
            </w:r>
          </w:p>
        </w:tc>
        <w:tc>
          <w:tcPr>
            <w:tcW w:w="7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与 1-2 家养老或家政机构启动半结构化场景试点，验证巡检、提醒和递送任务。；招募 10 户高净值家庭做上门演示或 Wizard-of-Oz 试用，记录入户许可、恐惧点和任务复用。；建立安全事件分级和售后责任流程，明确哪些任务必须人工接管或禁止执行。；发布第一版家庭任务基准：任务完成率、失败恢复时间、隐私授权率、用户满意度。</w:t>
            </w:r>
          </w:p>
        </w:tc>
      </w:tr>
      <w:tr>
        <w:tc>
          <w:tcPr>
            <w:tcW w:w="1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未来 90 天</w:t>
            </w:r>
          </w:p>
        </w:tc>
        <w:tc>
          <w:tcPr>
            <w:tcW w:w="7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根据试点数据决定主入口：养老陪护、家政共创或高端家庭体验。；把价格模型收敛到可退押金 + 月租 + 保险维保包，避免高价整机直接劝退。；形成 3 个可公开案例，分别证明安全、复用和付费意愿。；重新计算需求三角分数，若消费者能力仍低于 5.0，则继续延后家庭规模化销售。</w:t>
            </w:r>
          </w:p>
        </w:tc>
      </w:tr>
      <w:tr>
        <w:tc>
          <w:tcPr>
            <w:tcW w:w="1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决策规则</w:t>
            </w:r>
          </w:p>
        </w:tc>
        <w:tc>
          <w:tcPr>
            <w:tcW w:w="7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  <w:spacing w:before="0" w:after="20" w:line="250" w:lineRule="auto"/>
            </w:pPr>
            <w:r>
              <w:rPr>
                <w:rFonts w:ascii="Georgia" w:hAnsi="Georgia" w:eastAsia="Songti SC" w:cs="Georgia"/>
                <w:color w:val="141413"/>
                <w:sz w:val="17"/>
              </w:rPr>
              <w:t xml:space="preserve">若 30 天家庭试点每户每周复用低于 3 次，停止全能家用叙事，回到单场景任务。；若隐私条款接受率低于 50%，优先重做本地隐私和遥操作授权机制。；若用户愿付月租中位数不足以覆盖硬件折旧、上门维护和保险成本，不进入量产销售。；若机构试点不能证明 15% 以上流程效率提升，不把 B2B2C 作为主渠道。；只有当消费者能力分数提升到 5.5 以上，且目标物证明分数超过 6.5，才讨论普通家庭扩张。</w:t>
            </w:r>
          </w:p>
        </w:tc>
      </w:tr>
    </w:tbl>
    <w:p>
      <w:pPr>
        <w:pStyle w:val="Heading1"/>
        <w:spacing w:before="0" w:after="120" w:line="330" w:lineRule="auto"/>
      </w:pPr>
      <w:r>
        <w:rPr>
          <w:rFonts w:ascii="Georgia" w:hAnsi="Georgia" w:eastAsia="Songti SC" w:cs="Georgia"/>
        </w:rPr>
        <w:t xml:space="preserve">附录</w:t>
      </w:r>
    </w:p>
    <w:p>
      <w:pPr>
        <w:pStyle w:val="Heading2"/>
        <w:spacing w:before="0" w:after="120" w:line="330" w:lineRule="auto"/>
      </w:pPr>
      <w:r>
        <w:rPr>
          <w:rFonts w:ascii="Georgia" w:hAnsi="Georgia" w:eastAsia="Songti SC" w:cs="Georgia"/>
        </w:rPr>
        <w:t xml:space="preserve">未解问题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目标产品是否采用双足人形、轮式人形，还是带机械臂的家庭服务机器人？不同形态会显著影响安全和成本。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首批市场是否限定中国一二线高净值家庭，还是面向全球早期采用者？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机器人是否允许远程专家接管？如果允许，隐私授权和数据边界如何设计？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首版是否必须做家务，还是可以从老人安全巡检、陪伴和提醒切入？</w:t>
      </w:r>
    </w:p>
    <w:p>
      <w:pPr>
        <w:pStyle w:val="ListParagraph"/>
        <w:ind w:left="360" w:hanging="220"/>
        <w:spacing w:before="0" w:after="70" w:line="300" w:lineRule="auto"/>
      </w:pPr>
      <w:r>
        <w:rPr>
          <w:rFonts w:ascii="Georgia" w:hAnsi="Georgia" w:eastAsia="Songti SC" w:cs="Georgia"/>
        </w:rPr>
        <w:t xml:space="preserve">• 团队是否已有家庭场景任务完成率、事故率和 30 天复用率数据？</w:t>
      </w:r>
    </w:p>
    <w:sectPr>
      <w:pgSz w:w="11906" w:h="16838"/>
      <w:pgMar w:top="1134" w:right="1247" w:bottom="1247" w:left="1247" w:header="720" w:footer="720" w:gutter="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eastAsia="Songti SC" w:cs="Georgia"/>
        <w:sz w:val="21"/>
        <w:color w:val="141413"/>
      </w:rPr>
    </w:rPrDefault>
  </w:docDefaults>
  <w:style w:type="paragraph" w:default="1" w:styleId="Normal">
    <w:name w:val="Normal"/>
    <w:pPr>
      <w:spacing w:after="120" w:line="320" w:lineRule="auto"/>
    </w:pPr>
    <w:rPr>
      <w:sz w:val="21"/>
      <w:rFonts w:ascii="Georgia" w:eastAsia="Songti SC" w:hAnsi="Georgia"/>
    </w:rPr>
  </w:style>
  <w:style w:type="paragraph" w:styleId="Title">
    <w:name w:val="Title"/>
    <w:basedOn w:val="Normal"/>
    <w:pPr>
      <w:spacing w:after="220"/>
    </w:pPr>
    <w:rPr>
      <w:b/>
      <w:color w:val="141413"/>
      <w:sz w:val="42"/>
    </w:rPr>
  </w:style>
  <w:style w:type="paragraph" w:styleId="Subtitle">
    <w:name w:val="Subtitle"/>
    <w:basedOn w:val="Normal"/>
    <w:pPr>
      <w:spacing w:after="180" w:line="330" w:lineRule="auto"/>
    </w:pPr>
    <w:rPr>
      <w:color w:val="3D3D3A"/>
      <w:sz w:val="22"/>
    </w:rPr>
  </w:style>
  <w:style w:type="paragraph" w:styleId="Heading1">
    <w:name w:val="heading 1"/>
    <w:basedOn w:val="Normal"/>
    <w:pPr>
      <w:spacing w:before="320" w:after="150"/>
      <w:keepNext/>
    </w:pPr>
    <w:rPr>
      <w:b/>
      <w:color w:val="1B365D"/>
      <w:sz w:val="30"/>
    </w:rPr>
  </w:style>
  <w:style w:type="paragraph" w:styleId="Heading2">
    <w:name w:val="heading 2"/>
    <w:basedOn w:val="Normal"/>
    <w:pPr>
      <w:spacing w:before="180" w:after="100"/>
      <w:keepNext/>
    </w:pPr>
    <w:rPr>
      <w:b/>
      <w:color w:val="141413"/>
      <w:sz w:val="25"/>
    </w:rPr>
  </w:style>
  <w:style w:type="paragraph" w:styleId="Heading3">
    <w:name w:val="heading 3"/>
    <w:basedOn w:val="Normal"/>
    <w:pPr>
      <w:spacing w:before="100" w:after="70"/>
      <w:keepNext/>
    </w:pPr>
    <w:rPr>
      <w:b/>
      <w:color w:val="3D3D3A"/>
      <w:sz w:val="22"/>
    </w:rPr>
  </w:style>
  <w:style w:type="paragraph" w:styleId="Caption">
    <w:name w:val="Caption"/>
    <w:basedOn w:val="Normal"/>
    <w:pPr>
      <w:spacing w:after="80" w:line="280" w:lineRule="auto"/>
    </w:pPr>
    <w:rPr>
      <w:color w:val="6B6A64"/>
      <w:sz w:val="18"/>
    </w:rPr>
  </w:style>
  <w:style w:type="paragraph" w:styleId="ListParagraph">
    <w:name w:val="List Paragraph"/>
    <w:basedOn w:val="Normal"/>
    <w:pPr>
      <w:spacing w:after="70" w:line="300" w:lineRule="auto"/>
    </w:pPr>
    <w:rPr>
      <w:sz w:val="20"/>
    </w:rPr>
  </w:style>
  <w:style w:type="paragraph" w:styleId="TableText">
    <w:name w:val="Table Text"/>
    <w:basedOn w:val="Normal"/>
    <w:pPr>
      <w:spacing w:after="30" w:line="270" w:lineRule="auto"/>
    </w:pPr>
    <w:rPr>
      <w:sz w:val="18"/>
    </w:rPr>
  </w:style>
  <w:style w:type="paragraph" w:styleId="TableHeader">
    <w:name w:val="Table Header"/>
    <w:basedOn w:val="TableText"/>
    <w:rPr>
      <w:b/>
      <w:color w:val="3D3D3A"/>
      <w:sz w:val="18"/>
    </w:rPr>
  </w:style>
  <w:style w:type="table" w:styleId="TableGrid">
    <w:name w:val="Table Grid"/>
    <w:tblPr>
      <w:tblBorders>
        <w:top w:val="single" w:sz="6" w:color="E8E6DC"/>
        <w:left w:val="single" w:sz="6" w:color="E8E6DC"/>
        <w:bottom w:val="single" w:sz="6" w:color="E8E6DC"/>
        <w:right w:val="single" w:sz="6" w:color="E8E6DC"/>
        <w:insideH w:val="single" w:sz="4" w:color="EFEEE8"/>
        <w:insideV w:val="single" w:sz="4" w:color="EFEE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