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  <w:spacing w:after="220"/>
      </w:pPr>
      <w:r>
        <w:rPr>
          <w:rFonts w:ascii="Arial" w:hAnsi="Arial" w:eastAsia="Microsoft YaHei"/>
          <w:b/>
          <w:sz w:val="34"/>
        </w:rPr>
        <w:t xml:space="preserve">价格战与渠道绑定博弈报告</w:t>
      </w:r>
    </w:p>
    <w:p>
      <w:pPr>
        <w:spacing w:after="70"/>
      </w:pPr>
      <w:r>
        <w:rPr>
          <w:rFonts w:ascii="Arial" w:hAnsi="Arial" w:eastAsia="Microsoft YaHei"/>
          <w:sz w:val="20"/>
        </w:rPr>
        <w:t xml:space="preserve">生成日期：2026-05-11</w:t>
      </w:r>
    </w:p>
    <w:p>
      <w:pPr>
        <w:spacing w:before="220" w:after="100"/>
      </w:pPr>
      <w:r>
        <w:rPr>
          <w:rFonts w:ascii="Arial" w:hAnsi="Arial" w:eastAsia="Microsoft YaHei"/>
          <w:b/>
          <w:sz w:val="26"/>
        </w:rPr>
        <w:t xml:space="preserve">一句话结论</w:t>
      </w:r>
    </w:p>
    <w:p>
      <w:pPr>
        <w:spacing w:after="70"/>
      </w:pPr>
      <w:r>
        <w:rPr>
          <w:rFonts w:ascii="Arial" w:hAnsi="Arial" w:eastAsia="Microsoft YaHei"/>
          <w:sz w:val="20"/>
        </w:rPr>
        <w:t xml:space="preserve">建议以「捆绑渠道」为主、以「高端差异化」为辅，避免「降价」；主反应风险是「攻击渠道」（约 45%）。</w:t>
      </w:r>
    </w:p>
    <w:p>
      <w:pPr>
        <w:spacing w:before="220" w:after="100"/>
      </w:pPr>
      <w:r>
        <w:rPr>
          <w:rFonts w:ascii="Arial" w:hAnsi="Arial" w:eastAsia="Microsoft YaHei"/>
          <w:b/>
          <w:sz w:val="26"/>
        </w:rPr>
        <w:t xml:space="preserve">推荐动作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• 主动作：捆绑渠道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• 辅助动作：高端差异化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• 避免动作：降价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• 推荐理由：降价最容易被头部竞品跟随，且会损害长期价格锚点；渠道绑定和高端差异化更能形成可信承诺和可持续收益。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• 承诺判断：年度渠道合作包：可信（79%）</w:t>
      </w:r>
    </w:p>
    <w:p>
      <w:pPr>
        <w:spacing w:before="220" w:after="100"/>
      </w:pPr>
      <w:r>
        <w:rPr>
          <w:rFonts w:ascii="Arial" w:hAnsi="Arial" w:eastAsia="Microsoft YaHei"/>
          <w:b/>
          <w:sz w:val="26"/>
        </w:rPr>
        <w:t xml:space="preserve">框架选择与组合</w:t>
      </w:r>
    </w:p>
    <w:p>
      <w:pPr>
        <w:spacing w:after="70"/>
      </w:pPr>
      <w:r>
        <w:rPr>
          <w:rFonts w:ascii="Arial" w:hAnsi="Arial" w:eastAsia="Microsoft YaHei"/>
          <w:sz w:val="20"/>
        </w:rPr>
        <w:t xml:space="preserve">主框架：Bertrand 价格竞争 + 序贯渠道承诺博弈</w:t>
      </w:r>
    </w:p>
    <w:p>
      <w:pPr>
        <w:spacing w:after="70"/>
      </w:pPr>
      <w:r>
        <w:rPr>
          <w:rFonts w:ascii="Arial" w:hAnsi="Arial" w:eastAsia="Microsoft YaHei"/>
          <w:sz w:val="20"/>
        </w:rPr>
        <w:t xml:space="preserve">组合逻辑：先用 Bertrand 价格竞争解释降价为何容易被跟随，再用囚徒困境说明价格战低收益；随后用重复博弈、信号博弈和可信承诺检查，寻找能改变对手和渠道预期的动作。</w:t>
      </w:r>
    </w:p>
    <w:p>
      <w:pPr>
        <w:spacing w:before="220" w:after="100"/>
      </w:pPr>
      <w:r>
        <w:rPr>
          <w:rFonts w:ascii="Arial" w:hAnsi="Arial" w:eastAsia="Microsoft YaHei"/>
          <w:b/>
          <w:sz w:val="26"/>
        </w:rPr>
        <w:t xml:space="preserve">辅助镜头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• 囚徒困境：直接降价会诱发双方跟随降价的低收益均衡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• 重复博弈：今天的价格动作会训练渠道和客户未来的预期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• 信号博弈：竞品免费版本和我们的高端路线图都需要检查是否可信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• 可信承诺：渠道绑定必须是可观察、成本高、难撤回的动作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• 纳什均衡检查：判断每个动作组合下双方是否有单边偏离动机</w:t>
      </w:r>
    </w:p>
    <w:p>
      <w:pPr>
        <w:spacing w:before="220" w:after="100"/>
      </w:pPr>
      <w:r>
        <w:rPr>
          <w:rFonts w:ascii="Arial" w:hAnsi="Arial" w:eastAsia="Microsoft YaHei"/>
          <w:b/>
          <w:sz w:val="26"/>
        </w:rPr>
        <w:t xml:space="preserve">排除或降级的框架</w:t>
      </w:r>
    </w:p>
    <w:tbl>
      <w:tblPr>
        <w:tblW w:w="15400" w:type="dxa"/>
        <w:tblLayout w:type="fixed"/>
        <w:tblBorders>
          <w:top w:val="single" w:sz="4" w:color="D9E0D8"/>
          <w:left w:val="single" w:sz="4" w:color="D9E0D8"/>
          <w:bottom w:val="single" w:sz="4" w:color="D9E0D8"/>
          <w:right w:val="single" w:sz="4" w:color="D9E0D8"/>
          <w:insideH w:val="single" w:sz="4" w:color="D9E0D8"/>
          <w:insideV w:val="single" w:sz="4" w:color="D9E0D8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00"/>
        <w:gridCol w:w="12400"/>
      </w:tblGrid>
      <w:tr>
        <w:tc>
          <w:tcPr>
            <w:tcW w:w="30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框架</w:t>
            </w:r>
          </w:p>
        </w:tc>
        <w:tc>
          <w:tcPr>
            <w:tcW w:w="124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原因</w:t>
            </w:r>
          </w:p>
        </w:tc>
      </w:tr>
      <w:tr>
        <w:tc>
          <w:tcPr>
            <w:tcW w:w="30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纯零和博弈</w:t>
            </w:r>
          </w:p>
        </w:tc>
        <w:tc>
          <w:tcPr>
            <w:tcW w:w="124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渠道绑定和高端差异化可以创造额外交易价值，不是单纯一方所得等于另一方所失。</w:t>
            </w:r>
          </w:p>
        </w:tc>
      </w:tr>
      <w:tr>
        <w:tc>
          <w:tcPr>
            <w:tcW w:w="30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单次囚徒困境</w:t>
            </w:r>
          </w:p>
        </w:tc>
        <w:tc>
          <w:tcPr>
            <w:tcW w:w="124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价格、渠道和客户关系会重复发生，因此必须加入重复博弈和承诺机制。</w:t>
            </w:r>
          </w:p>
        </w:tc>
      </w:tr>
    </w:tbl>
    <w:p>
      <w:pPr>
        <w:spacing w:before="220" w:after="100"/>
      </w:pPr>
      <w:r>
        <w:rPr>
          <w:rFonts w:ascii="Arial" w:hAnsi="Arial" w:eastAsia="Microsoft YaHei"/>
          <w:b/>
          <w:sz w:val="26"/>
        </w:rPr>
        <w:t xml:space="preserve">策略准备度</w:t>
      </w:r>
    </w:p>
    <w:p>
      <w:pPr>
        <w:spacing w:after="70"/>
      </w:pPr>
      <w:r>
        <w:rPr>
          <w:rFonts w:ascii="Arial" w:hAnsi="Arial" w:eastAsia="Microsoft YaHei"/>
          <w:sz w:val="20"/>
        </w:rPr>
        <w:t xml:space="preserve">准备度：74%｜状态：nearly-ready</w:t>
      </w:r>
    </w:p>
    <w:p>
      <w:pPr>
        <w:spacing w:after="70"/>
      </w:pPr>
      <w:r>
        <w:rPr>
          <w:rFonts w:ascii="Arial" w:hAnsi="Arial" w:eastAsia="Microsoft YaHei"/>
          <w:sz w:val="20"/>
        </w:rPr>
        <w:t xml:space="preserve">判断：当前模型可用于方向性决策，但仍有一两个信息缺口会影响执行强度。</w:t>
      </w:r>
    </w:p>
    <w:p>
      <w:pPr>
        <w:spacing w:before="220" w:after="100"/>
      </w:pPr>
      <w:r>
        <w:rPr>
          <w:rFonts w:ascii="Arial" w:hAnsi="Arial" w:eastAsia="Microsoft YaHei"/>
          <w:b/>
          <w:sz w:val="26"/>
        </w:rPr>
        <w:t xml:space="preserve">剩余缺口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• 围绕最危险假设做一次小规模验证或敏感性复核。</w:t>
      </w:r>
    </w:p>
    <w:p>
      <w:pPr>
        <w:spacing w:before="220" w:after="100"/>
      </w:pPr>
      <w:r>
        <w:rPr>
          <w:rFonts w:ascii="Arial" w:hAnsi="Arial" w:eastAsia="Microsoft YaHei"/>
          <w:b/>
          <w:sz w:val="26"/>
        </w:rPr>
        <w:t xml:space="preserve">战略卫生检查</w:t>
      </w:r>
    </w:p>
    <w:tbl>
      <w:tblPr>
        <w:tblW w:w="15400" w:type="dxa"/>
        <w:tblLayout w:type="fixed"/>
        <w:tblBorders>
          <w:top w:val="single" w:sz="4" w:color="D9E0D8"/>
          <w:left w:val="single" w:sz="4" w:color="D9E0D8"/>
          <w:bottom w:val="single" w:sz="4" w:color="D9E0D8"/>
          <w:right w:val="single" w:sz="4" w:color="D9E0D8"/>
          <w:insideH w:val="single" w:sz="4" w:color="D9E0D8"/>
          <w:insideV w:val="single" w:sz="4" w:color="D9E0D8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400"/>
        <w:gridCol w:w="2200"/>
        <w:gridCol w:w="9800"/>
      </w:tblGrid>
      <w:tr>
        <w:tc>
          <w:tcPr>
            <w:tcW w:w="34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检查</w:t>
            </w:r>
          </w:p>
        </w:tc>
        <w:tc>
          <w:tcPr>
            <w:tcW w:w="2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状态</w:t>
            </w:r>
          </w:p>
        </w:tc>
        <w:tc>
          <w:tcPr>
            <w:tcW w:w="98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说明</w:t>
            </w:r>
          </w:p>
        </w:tc>
      </w:tr>
      <w:tr>
        <w:tc>
          <w:tcPr>
            <w:tcW w:w="34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payoff hygiene</w:t>
            </w:r>
          </w:p>
        </w:tc>
        <w:tc>
          <w:tcPr>
            <w:tcW w:w="2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pass</w:t>
            </w:r>
          </w:p>
        </w:tc>
        <w:tc>
          <w:tcPr>
            <w:tcW w:w="98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payoff 已标记 observed / estimated / assumed。</w:t>
            </w:r>
          </w:p>
        </w:tc>
      </w:tr>
      <w:tr>
        <w:tc>
          <w:tcPr>
            <w:tcW w:w="34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reaction hygiene</w:t>
            </w:r>
          </w:p>
        </w:tc>
        <w:tc>
          <w:tcPr>
            <w:tcW w:w="2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pass</w:t>
            </w:r>
          </w:p>
        </w:tc>
        <w:tc>
          <w:tcPr>
            <w:tcW w:w="98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对手反应均有激励理由。</w:t>
            </w:r>
          </w:p>
        </w:tc>
      </w:tr>
      <w:tr>
        <w:tc>
          <w:tcPr>
            <w:tcW w:w="34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commitment hygiene</w:t>
            </w:r>
          </w:p>
        </w:tc>
        <w:tc>
          <w:tcPr>
            <w:tcW w:w="2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pass</w:t>
            </w:r>
          </w:p>
        </w:tc>
        <w:tc>
          <w:tcPr>
            <w:tcW w:w="98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至少一个关键承诺通过可信度门槛。</w:t>
            </w:r>
          </w:p>
        </w:tc>
      </w:tr>
      <w:tr>
        <w:tc>
          <w:tcPr>
            <w:tcW w:w="34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framework hygiene</w:t>
            </w:r>
          </w:p>
        </w:tc>
        <w:tc>
          <w:tcPr>
            <w:tcW w:w="2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pass</w:t>
            </w:r>
          </w:p>
        </w:tc>
        <w:tc>
          <w:tcPr>
            <w:tcW w:w="98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框架选择先从结构出发，而不是只套用著名博弈。</w:t>
            </w:r>
          </w:p>
        </w:tc>
      </w:tr>
      <w:tr>
        <w:tc>
          <w:tcPr>
            <w:tcW w:w="34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safety hygiene</w:t>
            </w:r>
          </w:p>
        </w:tc>
        <w:tc>
          <w:tcPr>
            <w:tcW w:w="2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pass</w:t>
            </w:r>
          </w:p>
        </w:tc>
        <w:tc>
          <w:tcPr>
            <w:tcW w:w="98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已标记法律、投资、反垄断或合规边界。</w:t>
            </w:r>
          </w:p>
        </w:tc>
      </w:tr>
    </w:tbl>
    <w:p>
      <w:pPr>
        <w:spacing w:before="220" w:after="100"/>
      </w:pPr>
      <w:r>
        <w:rPr>
          <w:rFonts w:ascii="Arial" w:hAnsi="Arial" w:eastAsia="Microsoft YaHei"/>
          <w:b/>
          <w:sz w:val="26"/>
        </w:rPr>
        <w:t xml:space="preserve">敏感性与稳定性</w:t>
      </w:r>
    </w:p>
    <w:p>
      <w:pPr>
        <w:spacing w:after="70"/>
      </w:pPr>
      <w:r>
        <w:rPr>
          <w:rFonts w:ascii="Arial" w:hAnsi="Arial" w:eastAsia="Microsoft YaHei"/>
          <w:sz w:val="20"/>
        </w:rPr>
        <w:t xml:space="preserve">稳定性：mixed｜收益差距：1.4</w:t>
      </w:r>
    </w:p>
    <w:p>
      <w:pPr>
        <w:spacing w:after="70"/>
      </w:pPr>
      <w:r>
        <w:rPr>
          <w:rFonts w:ascii="Arial" w:hAnsi="Arial" w:eastAsia="Microsoft YaHei"/>
          <w:sz w:val="20"/>
        </w:rPr>
        <w:t xml:space="preserve">最危险假设：主推荐与备选方案的预期收益差距较小，少量 payoff 调整就可能改变排序。</w:t>
      </w:r>
    </w:p>
    <w:tbl>
      <w:tblPr>
        <w:tblW w:w="15400" w:type="dxa"/>
        <w:tblLayout w:type="fixed"/>
        <w:tblBorders>
          <w:top w:val="single" w:sz="4" w:color="D9E0D8"/>
          <w:left w:val="single" w:sz="4" w:color="D9E0D8"/>
          <w:bottom w:val="single" w:sz="4" w:color="D9E0D8"/>
          <w:right w:val="single" w:sz="4" w:color="D9E0D8"/>
          <w:insideH w:val="single" w:sz="4" w:color="D9E0D8"/>
          <w:insideV w:val="single" w:sz="4" w:color="D9E0D8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500"/>
        <w:gridCol w:w="4500"/>
        <w:gridCol w:w="4200"/>
        <w:gridCol w:w="4200"/>
      </w:tblGrid>
      <w:tr>
        <w:tc>
          <w:tcPr>
            <w:tcW w:w="25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压力测试</w:t>
            </w:r>
          </w:p>
        </w:tc>
        <w:tc>
          <w:tcPr>
            <w:tcW w:w="45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假设变化</w:t>
            </w:r>
          </w:p>
        </w:tc>
        <w:tc>
          <w:tcPr>
            <w:tcW w:w="4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影响</w:t>
            </w:r>
          </w:p>
        </w:tc>
        <w:tc>
          <w:tcPr>
            <w:tcW w:w="4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对推荐的影响</w:t>
            </w:r>
          </w:p>
        </w:tc>
      </w:tr>
      <w:tr>
        <w:tc>
          <w:tcPr>
            <w:tcW w:w="25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竞品更激进</w:t>
            </w:r>
          </w:p>
        </w:tc>
        <w:tc>
          <w:tcPr>
            <w:tcW w:w="45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将头部竞品跟随降价或攻击渠道的倾向上调。</w:t>
            </w:r>
          </w:p>
        </w:tc>
        <w:tc>
          <w:tcPr>
            <w:tcW w:w="4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降价选项进一步变差，渠道绑定需要更强返点和交付资源支撑。</w:t>
            </w:r>
          </w:p>
        </w:tc>
        <w:tc>
          <w:tcPr>
            <w:tcW w:w="4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通常不改变主推荐，但会提高执行成本。</w:t>
            </w:r>
          </w:p>
        </w:tc>
      </w:tr>
      <w:tr>
        <w:tc>
          <w:tcPr>
            <w:tcW w:w="25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渠道收益折扣</w:t>
            </w:r>
          </w:p>
        </w:tc>
        <w:tc>
          <w:tcPr>
            <w:tcW w:w="45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将渠道绑定带来的渠道收益和我方收益下调。</w:t>
            </w:r>
          </w:p>
        </w:tc>
        <w:tc>
          <w:tcPr>
            <w:tcW w:w="4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捆绑渠道与高端差异化的差距缩小。</w:t>
            </w:r>
          </w:p>
        </w:tc>
        <w:tc>
          <w:tcPr>
            <w:tcW w:w="4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若渠道拒绝年度合作包，应提高高端差异化权重。</w:t>
            </w:r>
          </w:p>
        </w:tc>
      </w:tr>
      <w:tr>
        <w:tc>
          <w:tcPr>
            <w:tcW w:w="25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承诺可信度下降</w:t>
            </w:r>
          </w:p>
        </w:tc>
        <w:tc>
          <w:tcPr>
            <w:tcW w:w="45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渠道认为年度合作包只是短期销售动作。</w:t>
            </w:r>
          </w:p>
        </w:tc>
        <w:tc>
          <w:tcPr>
            <w:tcW w:w="4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渠道绑定的可信承诺分下降，竞品攻击渠道的胜率上升。</w:t>
            </w:r>
          </w:p>
        </w:tc>
        <w:tc>
          <w:tcPr>
            <w:tcW w:w="4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需要先补强可观察投入，再正式推进绑定。</w:t>
            </w:r>
          </w:p>
        </w:tc>
      </w:tr>
    </w:tbl>
    <w:p>
      <w:pPr>
        <w:spacing w:before="220" w:after="100"/>
      </w:pPr>
      <w:r>
        <w:rPr>
          <w:rFonts w:ascii="Arial" w:hAnsi="Arial" w:eastAsia="Microsoft YaHei"/>
          <w:b/>
          <w:sz w:val="26"/>
        </w:rPr>
        <w:t xml:space="preserve">下一步信息</w:t>
      </w:r>
    </w:p>
    <w:tbl>
      <w:tblPr>
        <w:tblW w:w="15400" w:type="dxa"/>
        <w:tblLayout w:type="fixed"/>
        <w:tblBorders>
          <w:top w:val="single" w:sz="4" w:color="D9E0D8"/>
          <w:left w:val="single" w:sz="4" w:color="D9E0D8"/>
          <w:bottom w:val="single" w:sz="4" w:color="D9E0D8"/>
          <w:right w:val="single" w:sz="4" w:color="D9E0D8"/>
          <w:insideH w:val="single" w:sz="4" w:color="D9E0D8"/>
          <w:insideV w:val="single" w:sz="4" w:color="D9E0D8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600"/>
        <w:gridCol w:w="5600"/>
        <w:gridCol w:w="6200"/>
      </w:tblGrid>
      <w:tr>
        <w:tc>
          <w:tcPr>
            <w:tcW w:w="36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信息</w:t>
            </w:r>
          </w:p>
        </w:tc>
        <w:tc>
          <w:tcPr>
            <w:tcW w:w="56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为什么重要</w:t>
            </w:r>
          </w:p>
        </w:tc>
        <w:tc>
          <w:tcPr>
            <w:tcW w:w="6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收集方法</w:t>
            </w:r>
          </w:p>
        </w:tc>
      </w:tr>
      <w:tr>
        <w:tc>
          <w:tcPr>
            <w:tcW w:w="36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竞品真实降价承受能力</w:t>
            </w:r>
          </w:p>
        </w:tc>
        <w:tc>
          <w:tcPr>
            <w:tcW w:w="56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决定竞品跟随降价是否是可持续威胁，而不是短期信号。</w:t>
            </w:r>
          </w:p>
        </w:tc>
        <w:tc>
          <w:tcPr>
            <w:tcW w:w="6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观察竞品报价、销售话术、续费折扣和公开成本信号。</w:t>
            </w:r>
          </w:p>
        </w:tc>
      </w:tr>
      <w:tr>
        <w:tc>
          <w:tcPr>
            <w:tcW w:w="36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核心渠道对年度合作包的接受阈值</w:t>
            </w:r>
          </w:p>
        </w:tc>
        <w:tc>
          <w:tcPr>
            <w:tcW w:w="56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决定渠道绑定是否能成为可信承诺。</w:t>
            </w:r>
          </w:p>
        </w:tc>
        <w:tc>
          <w:tcPr>
            <w:tcW w:w="6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用 2-3 个核心渠道做返点、线索、交付支持的访谈和报价测试。</w:t>
            </w:r>
          </w:p>
        </w:tc>
      </w:tr>
      <w:tr>
        <w:tc>
          <w:tcPr>
            <w:tcW w:w="36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免费版本是否有真实资源投入</w:t>
            </w:r>
          </w:p>
        </w:tc>
        <w:tc>
          <w:tcPr>
            <w:tcW w:w="56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决定竞品免费版是便宜信号还是可持续进攻。</w:t>
            </w:r>
          </w:p>
        </w:tc>
        <w:tc>
          <w:tcPr>
            <w:tcW w:w="6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追踪产品可用性、渠道推广、转化路径和续费机制。</w:t>
            </w:r>
          </w:p>
        </w:tc>
      </w:tr>
      <w:tr>
        <w:tc>
          <w:tcPr>
            <w:tcW w:w="36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策略准备度缺口</w:t>
            </w:r>
          </w:p>
        </w:tc>
        <w:tc>
          <w:tcPr>
            <w:tcW w:w="56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围绕最危险假设做一次小规模验证或敏感性复核。</w:t>
            </w:r>
          </w:p>
        </w:tc>
        <w:tc>
          <w:tcPr>
            <w:tcW w:w="6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补齐后重新生成博弈报告。</w:t>
            </w:r>
          </w:p>
        </w:tc>
      </w:tr>
    </w:tbl>
    <w:p>
      <w:pPr>
        <w:spacing w:before="220" w:after="100"/>
      </w:pPr>
      <w:r>
        <w:rPr>
          <w:rFonts w:ascii="Arial" w:hAnsi="Arial" w:eastAsia="Microsoft YaHei"/>
          <w:b/>
          <w:sz w:val="26"/>
        </w:rPr>
        <w:t xml:space="preserve">玩家地图</w:t>
      </w:r>
    </w:p>
    <w:tbl>
      <w:tblPr>
        <w:tblW w:w="15400" w:type="dxa"/>
        <w:tblLayout w:type="fixed"/>
        <w:tblBorders>
          <w:top w:val="single" w:sz="4" w:color="D9E0D8"/>
          <w:left w:val="single" w:sz="4" w:color="D9E0D8"/>
          <w:bottom w:val="single" w:sz="4" w:color="D9E0D8"/>
          <w:right w:val="single" w:sz="4" w:color="D9E0D8"/>
          <w:insideH w:val="single" w:sz="4" w:color="D9E0D8"/>
          <w:insideV w:val="single" w:sz="4" w:color="D9E0D8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00"/>
        <w:gridCol w:w="2800"/>
        <w:gridCol w:w="5400"/>
        <w:gridCol w:w="5400"/>
      </w:tblGrid>
      <w:tr>
        <w:tc>
          <w:tcPr>
            <w:tcW w:w="18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玩家</w:t>
            </w:r>
          </w:p>
        </w:tc>
        <w:tc>
          <w:tcPr>
            <w:tcW w:w="28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角色</w:t>
            </w:r>
          </w:p>
        </w:tc>
        <w:tc>
          <w:tcPr>
            <w:tcW w:w="54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目标</w:t>
            </w:r>
          </w:p>
        </w:tc>
        <w:tc>
          <w:tcPr>
            <w:tcW w:w="54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约束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我们</w:t>
            </w:r>
          </w:p>
        </w:tc>
        <w:tc>
          <w:tcPr>
            <w:tcW w:w="28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focal company</w:t>
            </w:r>
          </w:p>
        </w:tc>
        <w:tc>
          <w:tcPr>
            <w:tcW w:w="54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维持毛利；增强渠道绑定；守住高端客户</w:t>
            </w:r>
          </w:p>
        </w:tc>
        <w:tc>
          <w:tcPr>
            <w:tcW w:w="54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不能长期补贴低价；需要保持品牌价格锚点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头部竞品</w:t>
            </w:r>
          </w:p>
        </w:tc>
        <w:tc>
          <w:tcPr>
            <w:tcW w:w="28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incumbent competitor</w:t>
            </w:r>
          </w:p>
        </w:tc>
        <w:tc>
          <w:tcPr>
            <w:tcW w:w="54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压低我们的增长速度；保住渠道心智；阻止高端客户迁移</w:t>
            </w:r>
          </w:p>
        </w:tc>
        <w:tc>
          <w:tcPr>
            <w:tcW w:w="54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降价会损害自身利润；免费版本需要交付和获客成本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渠道商</w:t>
            </w:r>
          </w:p>
        </w:tc>
        <w:tc>
          <w:tcPr>
            <w:tcW w:w="28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distribution gatekeeper</w:t>
            </w:r>
          </w:p>
        </w:tc>
        <w:tc>
          <w:tcPr>
            <w:tcW w:w="54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提高返点；降低客户流失；减少交付风险</w:t>
            </w:r>
          </w:p>
        </w:tc>
        <w:tc>
          <w:tcPr>
            <w:tcW w:w="54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不愿被单一厂商锁死；更重视可售卖方案和服务能力</w:t>
            </w:r>
          </w:p>
        </w:tc>
      </w:tr>
    </w:tbl>
    <w:p>
      <w:pPr>
        <w:spacing w:before="220" w:after="100"/>
      </w:pPr>
      <w:r>
        <w:rPr>
          <w:rFonts w:ascii="Arial" w:hAnsi="Arial" w:eastAsia="Microsoft YaHei"/>
          <w:b/>
          <w:sz w:val="26"/>
        </w:rPr>
        <w:t xml:space="preserve">我们的策略集合</w:t>
      </w:r>
    </w:p>
    <w:tbl>
      <w:tblPr>
        <w:tblW w:w="15400" w:type="dxa"/>
        <w:tblLayout w:type="fixed"/>
        <w:tblBorders>
          <w:top w:val="single" w:sz="4" w:color="D9E0D8"/>
          <w:left w:val="single" w:sz="4" w:color="D9E0D8"/>
          <w:bottom w:val="single" w:sz="4" w:color="D9E0D8"/>
          <w:right w:val="single" w:sz="4" w:color="D9E0D8"/>
          <w:insideH w:val="single" w:sz="4" w:color="D9E0D8"/>
          <w:insideV w:val="single" w:sz="4" w:color="D9E0D8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200"/>
        <w:gridCol w:w="10600"/>
        <w:gridCol w:w="2600"/>
      </w:tblGrid>
      <w:tr>
        <w:tc>
          <w:tcPr>
            <w:tcW w:w="2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动作</w:t>
            </w:r>
          </w:p>
        </w:tc>
        <w:tc>
          <w:tcPr>
            <w:tcW w:w="106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说明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数据基础</w:t>
            </w:r>
          </w:p>
        </w:tc>
      </w:tr>
      <w:tr>
        <w:tc>
          <w:tcPr>
            <w:tcW w:w="2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降价</w:t>
            </w:r>
          </w:p>
        </w:tc>
        <w:tc>
          <w:tcPr>
            <w:tcW w:w="106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直接下调价格以阻止客户流失。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estimated</w:t>
            </w:r>
          </w:p>
        </w:tc>
      </w:tr>
      <w:tr>
        <w:tc>
          <w:tcPr>
            <w:tcW w:w="2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捆绑渠道</w:t>
            </w:r>
          </w:p>
        </w:tc>
        <w:tc>
          <w:tcPr>
            <w:tcW w:w="106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用联合返点、交付支持、客户线索和年度合作包绑定核心渠道。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estimated</w:t>
            </w:r>
          </w:p>
        </w:tc>
      </w:tr>
      <w:tr>
        <w:tc>
          <w:tcPr>
            <w:tcW w:w="2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高端差异化</w:t>
            </w:r>
          </w:p>
        </w:tc>
        <w:tc>
          <w:tcPr>
            <w:tcW w:w="106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维持价格锚点，强化高端能力、服务 SLA、集成能力和风险降低价值。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estimated</w:t>
            </w:r>
          </w:p>
        </w:tc>
      </w:tr>
      <w:tr>
        <w:tc>
          <w:tcPr>
            <w:tcW w:w="2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维持价格</w:t>
            </w:r>
          </w:p>
        </w:tc>
        <w:tc>
          <w:tcPr>
            <w:tcW w:w="106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不主动降价，只做局部商务折扣。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assumed</w:t>
            </w:r>
          </w:p>
        </w:tc>
      </w:tr>
    </w:tbl>
    <w:p>
      <w:pPr>
        <w:spacing w:before="220" w:after="100"/>
      </w:pPr>
      <w:r>
        <w:rPr>
          <w:rFonts w:ascii="Arial" w:hAnsi="Arial" w:eastAsia="Microsoft YaHei"/>
          <w:b/>
          <w:sz w:val="26"/>
        </w:rPr>
        <w:t xml:space="preserve">对手反应地图</w:t>
      </w:r>
    </w:p>
    <w:tbl>
      <w:tblPr>
        <w:tblW w:w="15400" w:type="dxa"/>
        <w:tblLayout w:type="fixed"/>
        <w:tblBorders>
          <w:top w:val="single" w:sz="4" w:color="D9E0D8"/>
          <w:left w:val="single" w:sz="4" w:color="D9E0D8"/>
          <w:bottom w:val="single" w:sz="4" w:color="D9E0D8"/>
          <w:right w:val="single" w:sz="4" w:color="D9E0D8"/>
          <w:insideH w:val="single" w:sz="4" w:color="D9E0D8"/>
          <w:insideV w:val="single" w:sz="4" w:color="D9E0D8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00"/>
        <w:gridCol w:w="2200"/>
        <w:gridCol w:w="2600"/>
        <w:gridCol w:w="1400"/>
        <w:gridCol w:w="6200"/>
      </w:tblGrid>
      <w:tr>
        <w:tc>
          <w:tcPr>
            <w:tcW w:w="30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对手</w:t>
            </w:r>
          </w:p>
        </w:tc>
        <w:tc>
          <w:tcPr>
            <w:tcW w:w="2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如果我们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可能动作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概率</w:t>
            </w:r>
          </w:p>
        </w:tc>
        <w:tc>
          <w:tcPr>
            <w:tcW w:w="6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理由</w:t>
            </w:r>
          </w:p>
        </w:tc>
      </w:tr>
      <w:tr>
        <w:tc>
          <w:tcPr>
            <w:tcW w:w="30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head_competitor</w:t>
            </w:r>
          </w:p>
        </w:tc>
        <w:tc>
          <w:tcPr>
            <w:tcW w:w="2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降价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跟随降价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65%</w:t>
            </w:r>
          </w:p>
        </w:tc>
        <w:tc>
          <w:tcPr>
            <w:tcW w:w="6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头部竞品有规模和资金缓冲，跟随降价可以阻止我们获得价格优势。</w:t>
            </w:r>
          </w:p>
        </w:tc>
      </w:tr>
      <w:tr>
        <w:tc>
          <w:tcPr>
            <w:tcW w:w="30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head_competitor</w:t>
            </w:r>
          </w:p>
        </w:tc>
        <w:tc>
          <w:tcPr>
            <w:tcW w:w="2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降价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攻击渠道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25%</w:t>
            </w:r>
          </w:p>
        </w:tc>
        <w:tc>
          <w:tcPr>
            <w:tcW w:w="6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竞品会用返点或独家政策削弱我们的渠道触达。</w:t>
            </w:r>
          </w:p>
        </w:tc>
      </w:tr>
      <w:tr>
        <w:tc>
          <w:tcPr>
            <w:tcW w:w="30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head_competitor</w:t>
            </w:r>
          </w:p>
        </w:tc>
        <w:tc>
          <w:tcPr>
            <w:tcW w:w="2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捆绑渠道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攻击渠道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45%</w:t>
            </w:r>
          </w:p>
        </w:tc>
        <w:tc>
          <w:tcPr>
            <w:tcW w:w="6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渠道绑定直接触碰竞品防线，但竞品需要付出返点和管理成本。</w:t>
            </w:r>
          </w:p>
        </w:tc>
      </w:tr>
      <w:tr>
        <w:tc>
          <w:tcPr>
            <w:tcW w:w="30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head_competitor</w:t>
            </w:r>
          </w:p>
        </w:tc>
        <w:tc>
          <w:tcPr>
            <w:tcW w:w="2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捆绑渠道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推出免费版本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25%</w:t>
            </w:r>
          </w:p>
        </w:tc>
        <w:tc>
          <w:tcPr>
            <w:tcW w:w="6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免费版本可制造低端客户噪音，但未必能替代渠道交付价值。</w:t>
            </w:r>
          </w:p>
        </w:tc>
      </w:tr>
      <w:tr>
        <w:tc>
          <w:tcPr>
            <w:tcW w:w="30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head_competitor</w:t>
            </w:r>
          </w:p>
        </w:tc>
        <w:tc>
          <w:tcPr>
            <w:tcW w:w="2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高端差异化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推出免费版本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35%</w:t>
            </w:r>
          </w:p>
        </w:tc>
        <w:tc>
          <w:tcPr>
            <w:tcW w:w="6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竞品可能用免费版守低端入口，同时避免在高端能力上直接比较。</w:t>
            </w:r>
          </w:p>
        </w:tc>
      </w:tr>
      <w:tr>
        <w:tc>
          <w:tcPr>
            <w:tcW w:w="30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head_competitor</w:t>
            </w:r>
          </w:p>
        </w:tc>
        <w:tc>
          <w:tcPr>
            <w:tcW w:w="2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高端差异化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攻击渠道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20%</w:t>
            </w:r>
          </w:p>
        </w:tc>
        <w:tc>
          <w:tcPr>
            <w:tcW w:w="6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如果高端差异化带动渠道利润，竞品会攻击关键渠道。</w:t>
            </w:r>
          </w:p>
        </w:tc>
      </w:tr>
    </w:tbl>
    <w:p>
      <w:pPr>
        <w:spacing w:before="220" w:after="100"/>
      </w:pPr>
      <w:r>
        <w:rPr>
          <w:rFonts w:ascii="Arial" w:hAnsi="Arial" w:eastAsia="Microsoft YaHei"/>
          <w:b/>
          <w:sz w:val="26"/>
        </w:rPr>
        <w:t xml:space="preserve">Payoff 矩阵</w:t>
      </w:r>
    </w:p>
    <w:tbl>
      <w:tblPr>
        <w:tblW w:w="15400" w:type="dxa"/>
        <w:tblLayout w:type="fixed"/>
        <w:tblBorders>
          <w:top w:val="single" w:sz="4" w:color="D9E0D8"/>
          <w:left w:val="single" w:sz="4" w:color="D9E0D8"/>
          <w:bottom w:val="single" w:sz="4" w:color="D9E0D8"/>
          <w:right w:val="single" w:sz="4" w:color="D9E0D8"/>
          <w:insideH w:val="single" w:sz="4" w:color="D9E0D8"/>
          <w:insideV w:val="single" w:sz="4" w:color="D9E0D8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200"/>
        <w:gridCol w:w="2600"/>
        <w:gridCol w:w="1000"/>
        <w:gridCol w:w="1000"/>
        <w:gridCol w:w="1000"/>
        <w:gridCol w:w="1500"/>
        <w:gridCol w:w="6100"/>
      </w:tblGrid>
      <w:tr>
        <w:tc>
          <w:tcPr>
            <w:tcW w:w="2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我们的动作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对方动作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我方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对方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渠道</w:t>
            </w: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基础</w:t>
            </w:r>
          </w:p>
        </w:tc>
        <w:tc>
          <w:tcPr>
            <w:tcW w:w="61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说明</w:t>
            </w:r>
          </w:p>
        </w:tc>
      </w:tr>
      <w:tr>
        <w:tc>
          <w:tcPr>
            <w:tcW w:w="2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降价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跟随降价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-35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-20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15</w:t>
            </w: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estimated</w:t>
            </w:r>
          </w:p>
        </w:tc>
        <w:tc>
          <w:tcPr>
            <w:tcW w:w="61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双方毛利受损，渠道短期受益但长期议价上升。</w:t>
            </w:r>
          </w:p>
        </w:tc>
      </w:tr>
      <w:tr>
        <w:tc>
          <w:tcPr>
            <w:tcW w:w="2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降价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攻击渠道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-20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5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20</w:t>
            </w: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estimated</w:t>
            </w:r>
          </w:p>
        </w:tc>
        <w:tc>
          <w:tcPr>
            <w:tcW w:w="61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我们既损失价格锚点，又被迫补贴渠道。</w:t>
            </w:r>
          </w:p>
        </w:tc>
      </w:tr>
      <w:tr>
        <w:tc>
          <w:tcPr>
            <w:tcW w:w="2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捆绑渠道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攻击渠道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35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-10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30</w:t>
            </w: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estimated</w:t>
            </w:r>
          </w:p>
        </w:tc>
        <w:tc>
          <w:tcPr>
            <w:tcW w:w="61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如果绑定包真实提升渠道利润，竞品攻击成本较高。</w:t>
            </w:r>
          </w:p>
        </w:tc>
      </w:tr>
      <w:tr>
        <w:tc>
          <w:tcPr>
            <w:tcW w:w="2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捆绑渠道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推出免费版本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25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10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20</w:t>
            </w: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estimated</w:t>
            </w:r>
          </w:p>
        </w:tc>
        <w:tc>
          <w:tcPr>
            <w:tcW w:w="61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免费版会冲击低端线索，但渠道仍看重交付和返佣。</w:t>
            </w:r>
          </w:p>
        </w:tc>
      </w:tr>
      <w:tr>
        <w:tc>
          <w:tcPr>
            <w:tcW w:w="2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高端差异化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推出免费版本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30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15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10</w:t>
            </w: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estimated</w:t>
            </w:r>
          </w:p>
        </w:tc>
        <w:tc>
          <w:tcPr>
            <w:tcW w:w="61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高端客户受免费版影响有限，但渠道动力弱于绑定方案。</w:t>
            </w:r>
          </w:p>
        </w:tc>
      </w:tr>
      <w:tr>
        <w:tc>
          <w:tcPr>
            <w:tcW w:w="2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维持价格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跟随降价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-10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10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5</w:t>
            </w: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assumed</w:t>
            </w:r>
          </w:p>
        </w:tc>
        <w:tc>
          <w:tcPr>
            <w:tcW w:w="61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维持价格能保护品牌，但若没有差异化会失去低端客户。</w:t>
            </w:r>
          </w:p>
        </w:tc>
      </w:tr>
    </w:tbl>
    <w:p>
      <w:pPr>
        <w:spacing w:before="220" w:after="100"/>
      </w:pPr>
      <w:r>
        <w:rPr>
          <w:rFonts w:ascii="Arial" w:hAnsi="Arial" w:eastAsia="Microsoft YaHei"/>
          <w:b/>
          <w:sz w:val="26"/>
        </w:rPr>
        <w:t xml:space="preserve">预期收益排序</w:t>
      </w:r>
    </w:p>
    <w:tbl>
      <w:tblPr>
        <w:tblW w:w="15400" w:type="dxa"/>
        <w:tblLayout w:type="fixed"/>
        <w:tblBorders>
          <w:top w:val="single" w:sz="4" w:color="D9E0D8"/>
          <w:left w:val="single" w:sz="4" w:color="D9E0D8"/>
          <w:bottom w:val="single" w:sz="4" w:color="D9E0D8"/>
          <w:right w:val="single" w:sz="4" w:color="D9E0D8"/>
          <w:insideH w:val="single" w:sz="4" w:color="D9E0D8"/>
          <w:insideV w:val="single" w:sz="4" w:color="D9E0D8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4200"/>
        <w:gridCol w:w="2800"/>
        <w:gridCol w:w="8400"/>
      </w:tblGrid>
      <w:tr>
        <w:tc>
          <w:tcPr>
            <w:tcW w:w="4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动作</w:t>
            </w:r>
          </w:p>
        </w:tc>
        <w:tc>
          <w:tcPr>
            <w:tcW w:w="28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预期收益</w:t>
            </w:r>
          </w:p>
        </w:tc>
        <w:tc>
          <w:tcPr>
            <w:tcW w:w="84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计算方式</w:t>
            </w:r>
          </w:p>
        </w:tc>
      </w:tr>
      <w:tr>
        <w:tc>
          <w:tcPr>
            <w:tcW w:w="4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捆绑渠道</w:t>
            </w:r>
          </w:p>
        </w:tc>
        <w:tc>
          <w:tcPr>
            <w:tcW w:w="28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31.4</w:t>
            </w:r>
          </w:p>
        </w:tc>
        <w:tc>
          <w:tcPr>
            <w:tcW w:w="84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reaction-weighted</w:t>
            </w:r>
          </w:p>
        </w:tc>
      </w:tr>
      <w:tr>
        <w:tc>
          <w:tcPr>
            <w:tcW w:w="4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高端差异化</w:t>
            </w:r>
          </w:p>
        </w:tc>
        <w:tc>
          <w:tcPr>
            <w:tcW w:w="28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30</w:t>
            </w:r>
          </w:p>
        </w:tc>
        <w:tc>
          <w:tcPr>
            <w:tcW w:w="84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reaction-weighted</w:t>
            </w:r>
          </w:p>
        </w:tc>
      </w:tr>
      <w:tr>
        <w:tc>
          <w:tcPr>
            <w:tcW w:w="4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维持价格</w:t>
            </w:r>
          </w:p>
        </w:tc>
        <w:tc>
          <w:tcPr>
            <w:tcW w:w="28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-10</w:t>
            </w:r>
          </w:p>
        </w:tc>
        <w:tc>
          <w:tcPr>
            <w:tcW w:w="84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matrix-average</w:t>
            </w:r>
          </w:p>
        </w:tc>
      </w:tr>
      <w:tr>
        <w:tc>
          <w:tcPr>
            <w:tcW w:w="4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降价</w:t>
            </w:r>
          </w:p>
        </w:tc>
        <w:tc>
          <w:tcPr>
            <w:tcW w:w="28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-30.8</w:t>
            </w:r>
          </w:p>
        </w:tc>
        <w:tc>
          <w:tcPr>
            <w:tcW w:w="84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reaction-weighted</w:t>
            </w:r>
          </w:p>
        </w:tc>
      </w:tr>
    </w:tbl>
    <w:p>
      <w:pPr>
        <w:spacing w:before="220" w:after="100"/>
      </w:pPr>
      <w:r>
        <w:rPr>
          <w:rFonts w:ascii="Arial" w:hAnsi="Arial" w:eastAsia="Microsoft YaHei"/>
          <w:b/>
          <w:sz w:val="26"/>
        </w:rPr>
        <w:t xml:space="preserve">承诺可信度</w:t>
      </w:r>
    </w:p>
    <w:tbl>
      <w:tblPr>
        <w:tblW w:w="15400" w:type="dxa"/>
        <w:tblLayout w:type="fixed"/>
        <w:tblBorders>
          <w:top w:val="single" w:sz="4" w:color="D9E0D8"/>
          <w:left w:val="single" w:sz="4" w:color="D9E0D8"/>
          <w:bottom w:val="single" w:sz="4" w:color="D9E0D8"/>
          <w:right w:val="single" w:sz="4" w:color="D9E0D8"/>
          <w:insideH w:val="single" w:sz="4" w:color="D9E0D8"/>
          <w:insideV w:val="single" w:sz="4" w:color="D9E0D8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1900"/>
        <w:gridCol w:w="3300"/>
        <w:gridCol w:w="1700"/>
        <w:gridCol w:w="1300"/>
        <w:gridCol w:w="1800"/>
        <w:gridCol w:w="5400"/>
      </w:tblGrid>
      <w:tr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动作</w:t>
            </w:r>
          </w:p>
        </w:tc>
        <w:tc>
          <w:tcPr>
            <w:tcW w:w="33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承诺</w:t>
            </w:r>
          </w:p>
        </w:tc>
        <w:tc>
          <w:tcPr>
            <w:tcW w:w="17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可信度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评分</w:t>
            </w:r>
          </w:p>
        </w:tc>
        <w:tc>
          <w:tcPr>
            <w:tcW w:w="18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证据基础</w:t>
            </w:r>
          </w:p>
        </w:tc>
        <w:tc>
          <w:tcPr>
            <w:tcW w:w="54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说明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捆绑渠道</w:t>
            </w:r>
          </w:p>
        </w:tc>
        <w:tc>
          <w:tcPr>
            <w:tcW w:w="33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年度渠道合作包</w:t>
            </w:r>
          </w:p>
        </w:tc>
        <w:tc>
          <w:tcPr>
            <w:tcW w:w="17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可信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79%</w:t>
            </w:r>
          </w:p>
        </w:tc>
        <w:tc>
          <w:tcPr>
            <w:tcW w:w="18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estimated</w:t>
            </w:r>
          </w:p>
        </w:tc>
        <w:tc>
          <w:tcPr>
            <w:tcW w:w="54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返点、联合交付和客户线索投入会让渠道看见真实承诺，撤回成本也较高。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高端差异化</w:t>
            </w:r>
          </w:p>
        </w:tc>
        <w:tc>
          <w:tcPr>
            <w:tcW w:w="33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高端服务 SLA 与集成路线图</w:t>
            </w:r>
          </w:p>
        </w:tc>
        <w:tc>
          <w:tcPr>
            <w:tcW w:w="17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部分可信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71%</w:t>
            </w:r>
          </w:p>
        </w:tc>
        <w:tc>
          <w:tcPr>
            <w:tcW w:w="18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estimated</w:t>
            </w:r>
          </w:p>
        </w:tc>
        <w:tc>
          <w:tcPr>
            <w:tcW w:w="54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若已绑定交付团队和路线图，承诺较可信；若只是发布话术，可信度会下降。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降价</w:t>
            </w:r>
          </w:p>
        </w:tc>
        <w:tc>
          <w:tcPr>
            <w:tcW w:w="33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长期低价</w:t>
            </w:r>
          </w:p>
        </w:tc>
        <w:tc>
          <w:tcPr>
            <w:tcW w:w="17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部分可信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58%</w:t>
            </w:r>
          </w:p>
        </w:tc>
        <w:tc>
          <w:tcPr>
            <w:tcW w:w="18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assumed</w:t>
            </w:r>
          </w:p>
        </w:tc>
        <w:tc>
          <w:tcPr>
            <w:tcW w:w="54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低价很显眼但与毛利目标冲突，因此时间一致性弱。</w:t>
            </w:r>
          </w:p>
        </w:tc>
      </w:tr>
    </w:tbl>
    <w:p>
      <w:pPr>
        <w:spacing w:before="220" w:after="100"/>
      </w:pPr>
      <w:r>
        <w:rPr>
          <w:rFonts w:ascii="Arial" w:hAnsi="Arial" w:eastAsia="Microsoft YaHei"/>
          <w:b/>
          <w:sz w:val="26"/>
        </w:rPr>
        <w:t xml:space="preserve">动态更新日志</w:t>
      </w:r>
    </w:p>
    <w:tbl>
      <w:tblPr>
        <w:tblW w:w="15400" w:type="dxa"/>
        <w:tblLayout w:type="fixed"/>
        <w:tblBorders>
          <w:top w:val="single" w:sz="4" w:color="D9E0D8"/>
          <w:left w:val="single" w:sz="4" w:color="D9E0D8"/>
          <w:bottom w:val="single" w:sz="4" w:color="D9E0D8"/>
          <w:right w:val="single" w:sz="4" w:color="D9E0D8"/>
          <w:insideH w:val="single" w:sz="4" w:color="D9E0D8"/>
          <w:insideV w:val="single" w:sz="4" w:color="D9E0D8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900"/>
        <w:gridCol w:w="1800"/>
        <w:gridCol w:w="1900"/>
        <w:gridCol w:w="5200"/>
        <w:gridCol w:w="4400"/>
        <w:gridCol w:w="1200"/>
      </w:tblGrid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轮次</w:t>
            </w:r>
          </w:p>
        </w:tc>
        <w:tc>
          <w:tcPr>
            <w:tcW w:w="18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日期</w:t>
            </w:r>
          </w:p>
        </w:tc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阶段</w:t>
            </w:r>
          </w:p>
        </w:tc>
        <w:tc>
          <w:tcPr>
            <w:tcW w:w="5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新增信息</w:t>
            </w:r>
          </w:p>
        </w:tc>
        <w:tc>
          <w:tcPr>
            <w:tcW w:w="44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判断</w:t>
            </w:r>
          </w:p>
        </w:tc>
        <w:tc>
          <w:tcPr>
            <w:tcW w:w="1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  <w:b/>
              </w:rPr>
              <w:t xml:space="preserve">状态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1</w:t>
            </w:r>
          </w:p>
        </w:tc>
        <w:tc>
          <w:tcPr>
            <w:tcW w:w="18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2026-05-04</w:t>
            </w:r>
          </w:p>
        </w:tc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初始建模</w:t>
            </w:r>
          </w:p>
        </w:tc>
        <w:tc>
          <w:tcPr>
            <w:tcW w:w="5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我们的可选动作包括降价、捆绑渠道、高端差异化和维持价格。；竞品可能跟随降价、攻击渠道或推出免费版本。</w:t>
            </w:r>
          </w:p>
        </w:tc>
        <w:tc>
          <w:tcPr>
            <w:tcW w:w="44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避免进入低质量价格战，优先采用渠道绑定与高端差异化组合。</w:t>
            </w:r>
          </w:p>
        </w:tc>
        <w:tc>
          <w:tcPr>
            <w:tcW w:w="1200" w:type="dxa"/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sz w:val="18"/>
              </w:rPr>
              <w:t xml:space="preserve">initial</w:t>
            </w:r>
          </w:p>
        </w:tc>
      </w:tr>
    </w:tbl>
    <w:p>
      <w:pPr>
        <w:spacing w:before="220" w:after="100"/>
      </w:pPr>
      <w:r>
        <w:rPr>
          <w:rFonts w:ascii="Arial" w:hAnsi="Arial" w:eastAsia="Microsoft YaHei"/>
          <w:b/>
          <w:sz w:val="26"/>
        </w:rPr>
        <w:t xml:space="preserve">风险与边界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• 本报告是战略决策支持，不构成法律、投资或反垄断合规意见。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• payoff 为估计值，需用真实毛利、渠道转化和客户留存数据校准。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• 任何排他、联合抵制或限制竞争动作都需要单独合规审查。</w:t>
      </w:r>
    </w:p>
    <w:sectPr>
      <w:pgSz w:w="16838" w:h="11906" w:orient="landscape"/>
      <w:pgMar w:top="720" w:right="720" w:bottom="720" w:left="720" w:header="360" w:footer="360" w:gutter="0"/>
    </w:sectPr>
  </w:body>
</w:document>
</file>