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rPr>
          <w:rFonts w:ascii="Arial" w:hAnsi="Arial" w:eastAsia="Microsoft YaHei"/>
          <w:b/>
          <w:sz w:val="34"/>
        </w:rPr>
        <w:t xml:space="preserve">价格战与渠道绑定博弈报告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生成日期：2026-05-12</w:t>
      </w:r>
    </w:p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一句话结论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建议以「捆绑渠道」为主、以「高端差异化」为辅，避免「降价」；主反应风险是「攻击渠道」（约 45%）。</w:t>
      </w:r>
    </w:p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推荐动作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主动作：捆绑渠道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辅助动作：高端差异化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避免动作：降价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推荐理由：降价最容易被头部竞品跟随，且会损害长期价格锚点；渠道绑定和高端差异化更能形成可信承诺和可持续收益。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承诺判断：年度渠道合作包：可信（79%）</w:t>
      </w:r>
    </w:p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框架选择与组合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主框架：Bertrand 价格竞争 + 序贯渠道承诺博弈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组合逻辑：先用 Bertrand 价格竞争解释降价为何容易被跟随，再用囚徒困境说明价格战低收益；随后用重复博弈、信号博弈和可信承诺检查，寻找能改变对手和渠道预期的动作。</w:t>
      </w:r>
    </w:p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辅助镜头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囚徒困境：直接降价会诱发双方跟随降价的低收益均衡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重复博弈：今天的价格动作会训练渠道和客户未来的预期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信号博弈：竞品免费版本和我们的高端路线图都需要检查是否可信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可信承诺：渠道绑定必须是可观察、成本高、难撤回的动作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纳什均衡检查：判断每个动作组合下双方是否有单边偏离动机</w:t>
      </w:r>
    </w:p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排除或降级的框架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000"/>
        <w:gridCol w:w="12400"/>
      </w:tblGrid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框架</w:t>
            </w:r>
          </w:p>
        </w:tc>
        <w:tc>
          <w:tcPr>
            <w:tcW w:w="12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原因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纯零和博弈</w:t>
            </w:r>
          </w:p>
        </w:tc>
        <w:tc>
          <w:tcPr>
            <w:tcW w:w="12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渠道绑定和高端差异化可以创造额外交易价值，不是单纯一方所得等于另一方所失。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单次囚徒困境</w:t>
            </w:r>
          </w:p>
        </w:tc>
        <w:tc>
          <w:tcPr>
            <w:tcW w:w="12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价格、渠道和客户关系会重复发生，因此必须加入重复博弈和承诺机制。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策略准备度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准备度：74%｜状态：nearly-ready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判断：当前模型可用于方向性决策，但仍有一两个信息缺口会影响执行强度。</w:t>
      </w:r>
    </w:p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剩余缺口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围绕最危险假设做一次小规模验证或敏感性复核。</w:t>
      </w:r>
    </w:p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战略卫生检查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400"/>
        <w:gridCol w:w="2200"/>
        <w:gridCol w:w="9800"/>
      </w:tblGrid>
      <w:tr>
        <w:tc>
          <w:tcPr>
            <w:tcW w:w="3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检查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状态</w:t>
            </w:r>
          </w:p>
        </w:tc>
        <w:tc>
          <w:tcPr>
            <w:tcW w:w="9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说明</w:t>
            </w:r>
          </w:p>
        </w:tc>
      </w:tr>
      <w:tr>
        <w:tc>
          <w:tcPr>
            <w:tcW w:w="3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payoff hygiene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pass</w:t>
            </w:r>
          </w:p>
        </w:tc>
        <w:tc>
          <w:tcPr>
            <w:tcW w:w="9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payoff 已标记 observed / estimated / assumed。</w:t>
            </w:r>
          </w:p>
        </w:tc>
      </w:tr>
      <w:tr>
        <w:tc>
          <w:tcPr>
            <w:tcW w:w="3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reaction hygiene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pass</w:t>
            </w:r>
          </w:p>
        </w:tc>
        <w:tc>
          <w:tcPr>
            <w:tcW w:w="9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对手反应均有激励理由。</w:t>
            </w:r>
          </w:p>
        </w:tc>
      </w:tr>
      <w:tr>
        <w:tc>
          <w:tcPr>
            <w:tcW w:w="3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commitment hygiene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pass</w:t>
            </w:r>
          </w:p>
        </w:tc>
        <w:tc>
          <w:tcPr>
            <w:tcW w:w="9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至少一个关键承诺通过可信度门槛。</w:t>
            </w:r>
          </w:p>
        </w:tc>
      </w:tr>
      <w:tr>
        <w:tc>
          <w:tcPr>
            <w:tcW w:w="3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historical behavior hygiene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pass</w:t>
            </w:r>
          </w:p>
        </w:tc>
        <w:tc>
          <w:tcPr>
            <w:tcW w:w="9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已用真实历史行为或同类经验校正玩家理性概率。</w:t>
            </w:r>
          </w:p>
        </w:tc>
      </w:tr>
      <w:tr>
        <w:tc>
          <w:tcPr>
            <w:tcW w:w="3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framework hygiene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pass</w:t>
            </w:r>
          </w:p>
        </w:tc>
        <w:tc>
          <w:tcPr>
            <w:tcW w:w="9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框架选择先从结构出发，而不是只套用著名博弈。</w:t>
            </w:r>
          </w:p>
        </w:tc>
      </w:tr>
      <w:tr>
        <w:tc>
          <w:tcPr>
            <w:tcW w:w="3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safety hygiene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pass</w:t>
            </w:r>
          </w:p>
        </w:tc>
        <w:tc>
          <w:tcPr>
            <w:tcW w:w="9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已标记法律、投资、反垄断或合规边界。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历史行为与理性概率校正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真实历史行为优先于纯模型推演；多轮博弈中应防止高估对手完全理性和时间一致性。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800"/>
        <w:gridCol w:w="1700"/>
        <w:gridCol w:w="1900"/>
        <w:gridCol w:w="1400"/>
        <w:gridCol w:w="1700"/>
        <w:gridCol w:w="6900"/>
      </w:tblGrid>
      <w:tr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玩家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先验理性</w:t>
            </w:r>
          </w:p>
        </w:tc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历史校正后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调整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证据质量</w:t>
            </w:r>
          </w:p>
        </w:tc>
        <w:tc>
          <w:tcPr>
            <w:tcW w:w="6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解释</w:t>
            </w:r>
          </w:p>
        </w:tc>
      </w:tr>
      <w:tr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渠道商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68%</w:t>
            </w:r>
          </w:p>
        </w:tc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68%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0%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0%</w:t>
            </w:r>
          </w:p>
        </w:tc>
        <w:tc>
          <w:tcPr>
            <w:tcW w:w="6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未提供真实历史行为数据；理性概率仍是模型先验，承诺和反应判断需要打折。</w:t>
            </w:r>
          </w:p>
        </w:tc>
      </w:tr>
      <w:tr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头部竞品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74%</w:t>
            </w:r>
          </w:p>
        </w:tc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32%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-42%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77%</w:t>
            </w:r>
          </w:p>
        </w:tc>
        <w:tc>
          <w:tcPr>
            <w:tcW w:w="6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真实历史行为显示该玩家未必时间一致或完全理性，应下调其长期威胁、承诺或信号可信度。</w:t>
            </w:r>
          </w:p>
        </w:tc>
      </w:tr>
      <w:tr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我们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78%</w:t>
            </w:r>
          </w:p>
        </w:tc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78%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0%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0%</w:t>
            </w:r>
          </w:p>
        </w:tc>
        <w:tc>
          <w:tcPr>
            <w:tcW w:w="6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未提供真实历史行为数据；理性概率仍是模型先验，承诺和反应判断需要打折。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真实历史行为样本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400"/>
        <w:gridCol w:w="4200"/>
        <w:gridCol w:w="2200"/>
        <w:gridCol w:w="1200"/>
        <w:gridCol w:w="1200"/>
        <w:gridCol w:w="2200"/>
        <w:gridCol w:w="3000"/>
      </w:tblGrid>
      <w:tr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玩家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历史事件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观察动作</w:t>
            </w:r>
          </w:p>
        </w:tc>
        <w:tc>
          <w:tcPr>
            <w:tcW w:w="1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相似度</w:t>
            </w:r>
          </w:p>
        </w:tc>
        <w:tc>
          <w:tcPr>
            <w:tcW w:w="1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兑现率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来源</w:t>
            </w:r>
          </w:p>
        </w:tc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启发</w:t>
            </w:r>
          </w:p>
        </w:tc>
      </w:tr>
      <w:tr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头部竞品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上一轮区域价格战中，竞品公开威胁长期低价，但 6 周后恢复价格并收窄折扣。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cheap_talk_then_reversal</w:t>
            </w:r>
          </w:p>
        </w:tc>
        <w:tc>
          <w:tcPr>
            <w:tcW w:w="1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82%</w:t>
            </w:r>
          </w:p>
        </w:tc>
        <w:tc>
          <w:tcPr>
            <w:tcW w:w="1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25%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销售 CRM 报价记录和渠道访谈</w:t>
            </w:r>
          </w:p>
        </w:tc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不要把竞品长期低价威胁直接当成完全理性且时间一致的可信承诺。</w:t>
            </w:r>
          </w:p>
        </w:tc>
      </w:tr>
      <w:tr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头部竞品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过去两次免费版发布都带来短期线索噪音，但缺少持续交付资源，90 天后活跃度明显下降。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free_tier_launch_with_low_follow_through</w:t>
            </w:r>
          </w:p>
        </w:tc>
        <w:tc>
          <w:tcPr>
            <w:tcW w:w="1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76%</w:t>
            </w:r>
          </w:p>
        </w:tc>
        <w:tc>
          <w:tcPr>
            <w:tcW w:w="1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35%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渠道复盘、公开产品更新和客户迁移记录</w:t>
            </w:r>
          </w:p>
        </w:tc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免费版可能是战术压制信号，不应默认其会长期理性投入。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经验参考分析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000"/>
        <w:gridCol w:w="5200"/>
        <w:gridCol w:w="1700"/>
        <w:gridCol w:w="1500"/>
        <w:gridCol w:w="4000"/>
      </w:tblGrid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参考类</w:t>
            </w:r>
          </w:p>
        </w:tc>
        <w:tc>
          <w:tcPr>
            <w:tcW w:w="5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模式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理性调整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置信度</w:t>
            </w:r>
          </w:p>
        </w:tc>
        <w:tc>
          <w:tcPr>
            <w:tcW w:w="4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启发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同类 SaaS 渠道价格战</w:t>
            </w:r>
          </w:p>
        </w:tc>
        <w:tc>
          <w:tcPr>
            <w:tcW w:w="5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头部竞品常用免费版或低价话术制造短期噪音，但持续兑现受毛利和交付成本约束。</w:t>
            </w:r>
          </w:p>
        </w:tc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-14%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72%</w:t>
            </w:r>
          </w:p>
        </w:tc>
        <w:tc>
          <w:tcPr>
            <w:tcW w:w="4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下调其长期执行免费版/低价策略的理性概率，保留短期攻击渠道的风险。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敏感性与稳定性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稳定性：mixed｜收益差距：1.4</w:t>
      </w:r>
    </w:p>
    <w:p>
      <w:pPr>
        <w:spacing w:after="70"/>
      </w:pPr>
      <w:r>
        <w:rPr>
          <w:rFonts w:ascii="Arial" w:hAnsi="Arial" w:eastAsia="Microsoft YaHei"/>
          <w:sz w:val="20"/>
        </w:rPr>
        <w:t xml:space="preserve">最危险假设：可能高估「头部竞品」的完全理性和时间一致性；真实历史行为要求下调其长期承诺或威胁可信度。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500"/>
        <w:gridCol w:w="4500"/>
        <w:gridCol w:w="4200"/>
        <w:gridCol w:w="4200"/>
      </w:tblGrid>
      <w:tr>
        <w:tc>
          <w:tcPr>
            <w:tcW w:w="2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压力测试</w:t>
            </w:r>
          </w:p>
        </w:tc>
        <w:tc>
          <w:tcPr>
            <w:tcW w:w="4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假设变化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影响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对推荐的影响</w:t>
            </w:r>
          </w:p>
        </w:tc>
      </w:tr>
      <w:tr>
        <w:tc>
          <w:tcPr>
            <w:tcW w:w="2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竞品更激进</w:t>
            </w:r>
          </w:p>
        </w:tc>
        <w:tc>
          <w:tcPr>
            <w:tcW w:w="4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将头部竞品跟随降价或攻击渠道的倾向上调。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降价选项进一步变差，渠道绑定需要更强返点和交付资源支撑。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通常不改变主推荐，但会提高执行成本。</w:t>
            </w:r>
          </w:p>
        </w:tc>
      </w:tr>
      <w:tr>
        <w:tc>
          <w:tcPr>
            <w:tcW w:w="2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渠道收益折扣</w:t>
            </w:r>
          </w:p>
        </w:tc>
        <w:tc>
          <w:tcPr>
            <w:tcW w:w="4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将渠道绑定带来的渠道收益和我方收益下调。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捆绑渠道与高端差异化的差距缩小。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若渠道拒绝年度合作包，应提高高端差异化权重。</w:t>
            </w:r>
          </w:p>
        </w:tc>
      </w:tr>
      <w:tr>
        <w:tc>
          <w:tcPr>
            <w:tcW w:w="2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承诺可信度下降</w:t>
            </w:r>
          </w:p>
        </w:tc>
        <w:tc>
          <w:tcPr>
            <w:tcW w:w="4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渠道认为年度合作包只是短期销售动作。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渠道绑定的可信承诺分下降，竞品攻击渠道的胜率上升。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需要先补强可观察投入，再正式推进绑定。</w:t>
            </w:r>
          </w:p>
        </w:tc>
      </w:tr>
      <w:tr>
        <w:tc>
          <w:tcPr>
            <w:tcW w:w="2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对手理性程度下调</w:t>
            </w:r>
          </w:p>
        </w:tc>
        <w:tc>
          <w:tcPr>
            <w:tcW w:w="4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用真实历史行为替代模型默认理性假设。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长期低价、免费版持续投入或公开威胁可能更像战术噪音，而非时间一致承诺。</w:t>
            </w:r>
          </w:p>
        </w:tc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降低对方持续威胁可信度，但仍保留短期扰动和渠道舆论风险。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下一步信息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600"/>
        <w:gridCol w:w="5600"/>
        <w:gridCol w:w="6200"/>
      </w:tblGrid>
      <w:tr>
        <w:tc>
          <w:tcPr>
            <w:tcW w:w="3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信息</w:t>
            </w:r>
          </w:p>
        </w:tc>
        <w:tc>
          <w:tcPr>
            <w:tcW w:w="5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为什么重要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收集方法</w:t>
            </w:r>
          </w:p>
        </w:tc>
      </w:tr>
      <w:tr>
        <w:tc>
          <w:tcPr>
            <w:tcW w:w="3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竞品真实降价承受能力</w:t>
            </w:r>
          </w:p>
        </w:tc>
        <w:tc>
          <w:tcPr>
            <w:tcW w:w="5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决定竞品跟随降价是否是可持续威胁，而不是短期信号。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观察竞品报价、销售话术、续费折扣和公开成本信号。</w:t>
            </w:r>
          </w:p>
        </w:tc>
      </w:tr>
      <w:tr>
        <w:tc>
          <w:tcPr>
            <w:tcW w:w="3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核心渠道对年度合作包的接受阈值</w:t>
            </w:r>
          </w:p>
        </w:tc>
        <w:tc>
          <w:tcPr>
            <w:tcW w:w="5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决定渠道绑定是否能成为可信承诺。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用 2-3 个核心渠道做返点、线索、交付支持的访谈和报价测试。</w:t>
            </w:r>
          </w:p>
        </w:tc>
      </w:tr>
      <w:tr>
        <w:tc>
          <w:tcPr>
            <w:tcW w:w="3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免费版本是否有真实资源投入</w:t>
            </w:r>
          </w:p>
        </w:tc>
        <w:tc>
          <w:tcPr>
            <w:tcW w:w="5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决定竞品免费版是便宜信号还是可持续进攻。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追踪产品可用性、渠道推广、转化路径和续费机制。</w:t>
            </w:r>
          </w:p>
        </w:tc>
      </w:tr>
      <w:tr>
        <w:tc>
          <w:tcPr>
            <w:tcW w:w="3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策略准备度缺口</w:t>
            </w:r>
          </w:p>
        </w:tc>
        <w:tc>
          <w:tcPr>
            <w:tcW w:w="5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围绕最危险假设做一次小规模验证或敏感性复核。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补齐后重新生成博弈报告。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玩家地图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800"/>
        <w:gridCol w:w="2800"/>
        <w:gridCol w:w="5400"/>
        <w:gridCol w:w="5400"/>
      </w:tblGrid>
      <w:tr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玩家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角色</w:t>
            </w:r>
          </w:p>
        </w:tc>
        <w:tc>
          <w:tcPr>
            <w:tcW w:w="5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目标</w:t>
            </w:r>
          </w:p>
        </w:tc>
        <w:tc>
          <w:tcPr>
            <w:tcW w:w="5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约束</w:t>
            </w:r>
          </w:p>
        </w:tc>
      </w:tr>
      <w:tr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我们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focal company</w:t>
            </w:r>
          </w:p>
        </w:tc>
        <w:tc>
          <w:tcPr>
            <w:tcW w:w="5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维持毛利；增强渠道绑定；守住高端客户</w:t>
            </w:r>
          </w:p>
        </w:tc>
        <w:tc>
          <w:tcPr>
            <w:tcW w:w="5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不能长期补贴低价；需要保持品牌价格锚点</w:t>
            </w:r>
          </w:p>
        </w:tc>
      </w:tr>
      <w:tr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头部竞品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incumbent competitor</w:t>
            </w:r>
          </w:p>
        </w:tc>
        <w:tc>
          <w:tcPr>
            <w:tcW w:w="5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压低我们的增长速度；保住渠道心智；阻止高端客户迁移</w:t>
            </w:r>
          </w:p>
        </w:tc>
        <w:tc>
          <w:tcPr>
            <w:tcW w:w="5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降价会损害自身利润；免费版本需要交付和获客成本</w:t>
            </w:r>
          </w:p>
        </w:tc>
      </w:tr>
      <w:tr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渠道商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distribution gatekeeper</w:t>
            </w:r>
          </w:p>
        </w:tc>
        <w:tc>
          <w:tcPr>
            <w:tcW w:w="5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提高返点；降低客户流失；减少交付风险</w:t>
            </w:r>
          </w:p>
        </w:tc>
        <w:tc>
          <w:tcPr>
            <w:tcW w:w="5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不愿被单一厂商锁死；更重视可售卖方案和服务能力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我们的策略集合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200"/>
        <w:gridCol w:w="10600"/>
        <w:gridCol w:w="2600"/>
      </w:tblGrid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动作</w:t>
            </w:r>
          </w:p>
        </w:tc>
        <w:tc>
          <w:tcPr>
            <w:tcW w:w="10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说明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数据基础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</w:t>
            </w:r>
          </w:p>
        </w:tc>
        <w:tc>
          <w:tcPr>
            <w:tcW w:w="10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直接下调价格以阻止客户流失。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捆绑渠道</w:t>
            </w:r>
          </w:p>
        </w:tc>
        <w:tc>
          <w:tcPr>
            <w:tcW w:w="10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用联合返点、交付支持、客户线索和年度合作包绑定核心渠道。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高端差异化</w:t>
            </w:r>
          </w:p>
        </w:tc>
        <w:tc>
          <w:tcPr>
            <w:tcW w:w="10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维持价格锚点，强化高端能力、服务 SLA、集成能力和风险降低价值。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维持价格</w:t>
            </w:r>
          </w:p>
        </w:tc>
        <w:tc>
          <w:tcPr>
            <w:tcW w:w="10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不主动降价，只做局部商务折扣。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assumed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对手反应地图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000"/>
        <w:gridCol w:w="2200"/>
        <w:gridCol w:w="2600"/>
        <w:gridCol w:w="1400"/>
        <w:gridCol w:w="6200"/>
      </w:tblGrid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对手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如果我们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可能动作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概率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理由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head_competitor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跟随降价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65%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头部竞品有规模和资金缓冲，跟随降价可以阻止我们获得价格优势。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head_competitor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攻击渠道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25%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竞品会用返点或独家政策削弱我们的渠道触达。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head_competitor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捆绑渠道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攻击渠道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45%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渠道绑定直接触碰竞品防线，但竞品需要付出返点和管理成本。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head_competitor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捆绑渠道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推出免费版本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25%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免费版本可制造低端客户噪音，但未必能替代渠道交付价值。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head_competitor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高端差异化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推出免费版本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35%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竞品可能用免费版守低端入口，同时避免在高端能力上直接比较。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head_competitor</w:t>
            </w:r>
          </w:p>
        </w:tc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高端差异化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攻击渠道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20%</w:t>
            </w:r>
          </w:p>
        </w:tc>
        <w:tc>
          <w:tcPr>
            <w:tcW w:w="6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如果高端差异化带动渠道利润，竞品会攻击关键渠道。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Payoff 矩阵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200"/>
        <w:gridCol w:w="2600"/>
        <w:gridCol w:w="1000"/>
        <w:gridCol w:w="1000"/>
        <w:gridCol w:w="1000"/>
        <w:gridCol w:w="1500"/>
        <w:gridCol w:w="6100"/>
      </w:tblGrid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我们的动作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对方动作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我方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对方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渠道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基础</w:t>
            </w:r>
          </w:p>
        </w:tc>
        <w:tc>
          <w:tcPr>
            <w:tcW w:w="61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说明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跟随降价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-35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-20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15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  <w:tc>
          <w:tcPr>
            <w:tcW w:w="61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双方毛利受损，渠道短期受益但长期议价上升。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攻击渠道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-20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5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20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  <w:tc>
          <w:tcPr>
            <w:tcW w:w="61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我们既损失价格锚点，又被迫补贴渠道。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捆绑渠道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攻击渠道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35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-10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30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  <w:tc>
          <w:tcPr>
            <w:tcW w:w="61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如果绑定包真实提升渠道利润，竞品攻击成本较高。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捆绑渠道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推出免费版本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25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10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20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  <w:tc>
          <w:tcPr>
            <w:tcW w:w="61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免费版会冲击低端线索，但渠道仍看重交付和返佣。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高端差异化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推出免费版本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30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15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10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  <w:tc>
          <w:tcPr>
            <w:tcW w:w="61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高端客户受免费版影响有限，但渠道动力弱于绑定方案。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维持价格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跟随降价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-10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10</w:t>
            </w:r>
          </w:p>
        </w:tc>
        <w:tc>
          <w:tcPr>
            <w:tcW w:w="1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5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assumed</w:t>
            </w:r>
          </w:p>
        </w:tc>
        <w:tc>
          <w:tcPr>
            <w:tcW w:w="61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维持价格能保护品牌，但若没有差异化会失去低端客户。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预期收益排序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4200"/>
        <w:gridCol w:w="2800"/>
        <w:gridCol w:w="8400"/>
      </w:tblGrid>
      <w:tr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动作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预期收益</w:t>
            </w:r>
          </w:p>
        </w:tc>
        <w:tc>
          <w:tcPr>
            <w:tcW w:w="8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计算方式</w:t>
            </w:r>
          </w:p>
        </w:tc>
      </w:tr>
      <w:tr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捆绑渠道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31.4</w:t>
            </w:r>
          </w:p>
        </w:tc>
        <w:tc>
          <w:tcPr>
            <w:tcW w:w="8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reaction-weighted</w:t>
            </w:r>
          </w:p>
        </w:tc>
      </w:tr>
      <w:tr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高端差异化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30</w:t>
            </w:r>
          </w:p>
        </w:tc>
        <w:tc>
          <w:tcPr>
            <w:tcW w:w="8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reaction-weighted</w:t>
            </w:r>
          </w:p>
        </w:tc>
      </w:tr>
      <w:tr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维持价格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-10</w:t>
            </w:r>
          </w:p>
        </w:tc>
        <w:tc>
          <w:tcPr>
            <w:tcW w:w="8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matrix-average</w:t>
            </w:r>
          </w:p>
        </w:tc>
      </w:tr>
      <w:tr>
        <w:tc>
          <w:tcPr>
            <w:tcW w:w="4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</w:t>
            </w:r>
          </w:p>
        </w:tc>
        <w:tc>
          <w:tcPr>
            <w:tcW w:w="2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-30.8</w:t>
            </w:r>
          </w:p>
        </w:tc>
        <w:tc>
          <w:tcPr>
            <w:tcW w:w="8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reaction-weighted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承诺可信度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700"/>
        <w:gridCol w:w="2600"/>
        <w:gridCol w:w="1500"/>
        <w:gridCol w:w="1400"/>
        <w:gridCol w:w="1600"/>
        <w:gridCol w:w="1600"/>
        <w:gridCol w:w="5000"/>
      </w:tblGrid>
      <w:tr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动作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承诺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可信度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原始评分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历史校正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证据基础</w:t>
            </w:r>
          </w:p>
        </w:tc>
        <w:tc>
          <w:tcPr>
            <w:tcW w:w="5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历史校正说明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跟随降价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长期低价威胁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部分可信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65%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50%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  <w:tc>
          <w:tcPr>
            <w:tcW w:w="5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真实历史行为显示该玩家未必时间一致或完全理性，应下调其长期威胁、承诺或信号可信度。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捆绑渠道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年度渠道合作包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可信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79%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79%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  <w:tc>
          <w:tcPr>
            <w:tcW w:w="5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未提供真实历史行为数据；理性概率仍是模型先验，承诺和反应判断需要打折。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高端差异化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高端服务 SLA 与集成路线图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部分可信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71%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71%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estimated</w:t>
            </w:r>
          </w:p>
        </w:tc>
        <w:tc>
          <w:tcPr>
            <w:tcW w:w="5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未提供真实历史行为数据；理性概率仍是模型先验，承诺和反应判断需要打折。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降价</w:t>
            </w:r>
          </w:p>
        </w:tc>
        <w:tc>
          <w:tcPr>
            <w:tcW w:w="2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长期低价</w:t>
            </w:r>
          </w:p>
        </w:tc>
        <w:tc>
          <w:tcPr>
            <w:tcW w:w="15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部分可信</w:t>
            </w:r>
          </w:p>
        </w:tc>
        <w:tc>
          <w:tcPr>
            <w:tcW w:w="1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58%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58%</w:t>
            </w:r>
          </w:p>
        </w:tc>
        <w:tc>
          <w:tcPr>
            <w:tcW w:w="16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assumed</w:t>
            </w:r>
          </w:p>
        </w:tc>
        <w:tc>
          <w:tcPr>
            <w:tcW w:w="50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未提供真实历史行为数据；理性概率仍是模型先验，承诺和反应判断需要打折。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动态更新日志</w:t>
      </w:r>
    </w:p>
    <w:tbl>
      <w:tblPr>
        <w:tblW w:w="15400" w:type="dxa"/>
        <w:tblLayout w:type="fixed"/>
        <w:tblBorders>
          <w:top w:val="single" w:sz="4" w:color="D9E0D8"/>
          <w:left w:val="single" w:sz="4" w:color="D9E0D8"/>
          <w:bottom w:val="single" w:sz="4" w:color="D9E0D8"/>
          <w:right w:val="single" w:sz="4" w:color="D9E0D8"/>
          <w:insideH w:val="single" w:sz="4" w:color="D9E0D8"/>
          <w:insideV w:val="single" w:sz="4" w:color="D9E0D8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900"/>
        <w:gridCol w:w="1800"/>
        <w:gridCol w:w="1900"/>
        <w:gridCol w:w="5200"/>
        <w:gridCol w:w="4400"/>
        <w:gridCol w:w="1200"/>
      </w:tblGrid>
      <w:tr>
        <w:tc>
          <w:tcPr>
            <w:tcW w:w="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轮次</w:t>
            </w:r>
          </w:p>
        </w:tc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日期</w:t>
            </w:r>
          </w:p>
        </w:tc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阶段</w:t>
            </w:r>
          </w:p>
        </w:tc>
        <w:tc>
          <w:tcPr>
            <w:tcW w:w="5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新增信息</w:t>
            </w:r>
          </w:p>
        </w:tc>
        <w:tc>
          <w:tcPr>
            <w:tcW w:w="4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判断</w:t>
            </w:r>
          </w:p>
        </w:tc>
        <w:tc>
          <w:tcPr>
            <w:tcW w:w="1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  <w:b/>
              </w:rPr>
              <w:t xml:space="preserve">状态</w:t>
            </w:r>
          </w:p>
        </w:tc>
      </w:tr>
      <w:tr>
        <w:tc>
          <w:tcPr>
            <w:tcW w:w="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1</w:t>
            </w:r>
          </w:p>
        </w:tc>
        <w:tc>
          <w:tcPr>
            <w:tcW w:w="18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2026-05-04</w:t>
            </w:r>
          </w:p>
        </w:tc>
        <w:tc>
          <w:tcPr>
            <w:tcW w:w="19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初始建模</w:t>
            </w:r>
          </w:p>
        </w:tc>
        <w:tc>
          <w:tcPr>
            <w:tcW w:w="5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我们的可选动作包括降价、捆绑渠道、高端差异化和维持价格。；竞品可能跟随降价、攻击渠道或推出免费版本。</w:t>
            </w:r>
          </w:p>
        </w:tc>
        <w:tc>
          <w:tcPr>
            <w:tcW w:w="44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避免进入低质量价格战，优先采用渠道绑定与高端差异化组合。</w:t>
            </w:r>
          </w:p>
        </w:tc>
        <w:tc>
          <w:tcPr>
            <w:tcW w:w="1200" w:type="dxa"/>
            <w:vAlign w:val="top"/>
          </w:tcPr>
          <w:p>
            <w:pPr>
              <w:spacing w:after="0"/>
            </w:pPr>
            <w:r>
              <w:rPr>
                <w:rFonts w:ascii="Arial" w:hAnsi="Arial" w:eastAsia="Microsoft YaHei"/>
                <w:sz w:val="18"/>
              </w:rPr>
              <w:t xml:space="preserve">initial</w:t>
            </w:r>
          </w:p>
        </w:tc>
      </w:tr>
    </w:tbl>
    <w:p>
      <w:pPr>
        <w:spacing w:before="220" w:after="100"/>
      </w:pPr>
      <w:r>
        <w:rPr>
          <w:rFonts w:ascii="Arial" w:hAnsi="Arial" w:eastAsia="Microsoft YaHei"/>
          <w:b/>
          <w:sz w:val="26"/>
        </w:rPr>
        <w:t xml:space="preserve">风险与边界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本报告是战略决策支持，不构成法律、投资或反垄断合规意见。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payoff 为估计值，需用真实毛利、渠道转化和客户留存数据校准。</w:t>
      </w:r>
    </w:p>
    <w:p>
      <w:pPr>
        <w:spacing w:after="40"/>
      </w:pPr>
      <w:r>
        <w:rPr>
          <w:rFonts w:ascii="Arial" w:hAnsi="Arial" w:eastAsia="Microsoft YaHei"/>
          <w:sz w:val="20"/>
        </w:rPr>
        <w:t xml:space="preserve">• 任何排他、联合抵制或限制竞争动作都需要单独合规审查。</w:t>
      </w:r>
    </w:p>
    <w:sectPr>
      <w:pgSz w:w="16838" w:h="11906" w:orient="landscape"/>
      <w:pgMar w:top="720" w:right="720" w:bottom="720" w:left="720" w:header="360" w:footer="360" w:gutter="0"/>
    </w:sectPr>
  </w:body>
</w:document>
</file>