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3953" w14:textId="77777777" w:rsidR="00803973" w:rsidRDefault="00803973" w:rsidP="002C5127">
      <w:pPr>
        <w:ind w:firstLineChars="0" w:firstLine="0"/>
        <w:jc w:val="center"/>
        <w:rPr>
          <w:rFonts w:ascii="黑体" w:eastAsia="黑体" w:hAnsi="黑体"/>
          <w:b/>
          <w:bCs/>
          <w:color w:val="000000" w:themeColor="text1"/>
          <w:sz w:val="32"/>
          <w:szCs w:val="32"/>
        </w:rPr>
      </w:pPr>
      <w:r w:rsidRPr="00803973">
        <w:rPr>
          <w:rFonts w:ascii="黑体" w:eastAsia="黑体" w:hAnsi="黑体"/>
          <w:b/>
          <w:bCs/>
          <w:color w:val="000000" w:themeColor="text1"/>
          <w:sz w:val="32"/>
          <w:szCs w:val="32"/>
        </w:rPr>
        <w:t>人民币汇率波动的宏观驱动因素研究：</w:t>
      </w:r>
    </w:p>
    <w:p w14:paraId="0FB321B1" w14:textId="00B6679B" w:rsidR="002C5127" w:rsidRPr="00803973" w:rsidRDefault="00803973" w:rsidP="002C5127">
      <w:pPr>
        <w:ind w:firstLineChars="0" w:firstLine="0"/>
        <w:jc w:val="center"/>
        <w:rPr>
          <w:rFonts w:ascii="黑体" w:eastAsia="黑体" w:hAnsi="黑体" w:hint="eastAsia"/>
          <w:b/>
          <w:bCs/>
          <w:color w:val="000000" w:themeColor="text1"/>
          <w:sz w:val="32"/>
          <w:szCs w:val="32"/>
        </w:rPr>
      </w:pPr>
      <w:r w:rsidRPr="00803973">
        <w:rPr>
          <w:rFonts w:ascii="黑体" w:eastAsia="黑体" w:hAnsi="黑体"/>
          <w:b/>
          <w:bCs/>
          <w:color w:val="000000" w:themeColor="text1"/>
          <w:sz w:val="32"/>
          <w:szCs w:val="32"/>
        </w:rPr>
        <w:t>基于CPI、PMI、</w:t>
      </w:r>
      <w:r w:rsidR="00365608">
        <w:rPr>
          <w:rFonts w:ascii="黑体" w:eastAsia="黑体" w:hAnsi="黑体" w:hint="eastAsia"/>
          <w:b/>
          <w:bCs/>
          <w:color w:val="000000" w:themeColor="text1"/>
          <w:sz w:val="32"/>
          <w:szCs w:val="32"/>
        </w:rPr>
        <w:t>名义广义</w:t>
      </w:r>
      <w:r w:rsidR="00445784">
        <w:rPr>
          <w:rFonts w:ascii="黑体" w:eastAsia="黑体" w:hAnsi="黑体"/>
          <w:b/>
          <w:bCs/>
          <w:color w:val="000000" w:themeColor="text1"/>
          <w:sz w:val="32"/>
          <w:szCs w:val="32"/>
        </w:rPr>
        <w:t>美元指数</w:t>
      </w:r>
      <w:r w:rsidRPr="00803973">
        <w:rPr>
          <w:rFonts w:ascii="黑体" w:eastAsia="黑体" w:hAnsi="黑体"/>
          <w:b/>
          <w:bCs/>
          <w:color w:val="000000" w:themeColor="text1"/>
          <w:sz w:val="32"/>
          <w:szCs w:val="32"/>
        </w:rPr>
        <w:t>与社会事件的可视化分析</w:t>
      </w:r>
    </w:p>
    <w:p w14:paraId="6620337A" w14:textId="77777777" w:rsidR="002C5127" w:rsidRPr="00445784" w:rsidRDefault="002C5127" w:rsidP="002C5127">
      <w:pPr>
        <w:ind w:firstLineChars="0" w:firstLine="0"/>
        <w:jc w:val="center"/>
        <w:rPr>
          <w:rFonts w:ascii="黑体" w:eastAsia="黑体" w:hAnsi="黑体" w:hint="eastAsia"/>
          <w:sz w:val="28"/>
          <w:szCs w:val="28"/>
        </w:rPr>
      </w:pPr>
      <w:r w:rsidRPr="00445784">
        <w:rPr>
          <w:rFonts w:ascii="黑体" w:eastAsia="黑体" w:hAnsi="黑体" w:hint="eastAsia"/>
          <w:sz w:val="28"/>
          <w:szCs w:val="28"/>
        </w:rPr>
        <w:t>摘要</w:t>
      </w:r>
    </w:p>
    <w:p w14:paraId="0DEB337C" w14:textId="00199F07" w:rsidR="002C5127" w:rsidRPr="00445784" w:rsidRDefault="00F05A5B" w:rsidP="0036150A">
      <w:pPr>
        <w:ind w:firstLine="482"/>
        <w:rPr>
          <w:rFonts w:hint="eastAsia"/>
        </w:rPr>
      </w:pPr>
      <w:r w:rsidRPr="00445784">
        <w:rPr>
          <w:b/>
          <w:bCs/>
        </w:rPr>
        <w:t>本项目围绕人民币兑美元汇率的波动特征，探讨宏观经济指标与典型社会事件对汇率变化的驱动作用。选取</w:t>
      </w:r>
      <w:r w:rsidRPr="00445784">
        <w:rPr>
          <w:b/>
          <w:bCs/>
        </w:rPr>
        <w:t>CPI</w:t>
      </w:r>
      <w:r w:rsidRPr="00445784">
        <w:rPr>
          <w:b/>
          <w:bCs/>
        </w:rPr>
        <w:t>、</w:t>
      </w:r>
      <w:r w:rsidRPr="00445784">
        <w:rPr>
          <w:b/>
          <w:bCs/>
        </w:rPr>
        <w:t>PMI</w:t>
      </w:r>
      <w:r w:rsidRPr="00445784">
        <w:rPr>
          <w:b/>
          <w:bCs/>
        </w:rPr>
        <w:t>、利差、</w:t>
      </w:r>
      <w:r w:rsidR="00365608">
        <w:rPr>
          <w:b/>
          <w:bCs/>
        </w:rPr>
        <w:t>名义广义美元指数</w:t>
      </w:r>
      <w:r w:rsidRPr="00445784">
        <w:rPr>
          <w:b/>
          <w:bCs/>
        </w:rPr>
        <w:t>等关键变量，结合</w:t>
      </w:r>
      <w:r w:rsidRPr="00445784">
        <w:rPr>
          <w:b/>
          <w:bCs/>
        </w:rPr>
        <w:t>2018—2024</w:t>
      </w:r>
      <w:r w:rsidRPr="00445784">
        <w:rPr>
          <w:b/>
          <w:bCs/>
        </w:rPr>
        <w:t>年期间的汇率数据，构建基础相关性与滞后效应分析模型，以刻画长期影响。与此同时，将中美贸易摩擦、全球疫情冲击、美联储加息周期等具有代表性的外部事件纳入窗口期分析，并在可视化图表中进行标注，以观察短期冲击所带来的方向性变化与波动扩张。研究旨在回答两个核心问题：人民币汇率在平稳时期主要受哪些宏观因素影响；在重大事件发生时，哪些力量会主导汇率的短期偏移。预期结果是长期走势更依赖</w:t>
      </w:r>
      <w:r w:rsidR="00365608">
        <w:rPr>
          <w:b/>
          <w:bCs/>
        </w:rPr>
        <w:t>名义广义美元指数</w:t>
      </w:r>
      <w:r w:rsidRPr="00445784">
        <w:rPr>
          <w:b/>
          <w:bCs/>
        </w:rPr>
        <w:t>与利差，而社会事件更容易触发剧烈的短期波动。通过数据可视化与事件叙事的结合，项目希望呈现人民币汇率在</w:t>
      </w:r>
      <w:r w:rsidRPr="00445784">
        <w:rPr>
          <w:b/>
          <w:bCs/>
        </w:rPr>
        <w:t>“</w:t>
      </w:r>
      <w:r w:rsidRPr="00445784">
        <w:rPr>
          <w:b/>
          <w:bCs/>
        </w:rPr>
        <w:t>大环境力量</w:t>
      </w:r>
      <w:r w:rsidRPr="00445784">
        <w:rPr>
          <w:b/>
          <w:bCs/>
        </w:rPr>
        <w:t>”</w:t>
      </w:r>
      <w:r w:rsidRPr="00445784">
        <w:rPr>
          <w:b/>
          <w:bCs/>
        </w:rPr>
        <w:t>与</w:t>
      </w:r>
      <w:r w:rsidRPr="00445784">
        <w:rPr>
          <w:b/>
          <w:bCs/>
        </w:rPr>
        <w:t>“</w:t>
      </w:r>
      <w:r w:rsidRPr="00445784">
        <w:rPr>
          <w:b/>
          <w:bCs/>
        </w:rPr>
        <w:t>突发冲击</w:t>
      </w:r>
      <w:r w:rsidRPr="00445784">
        <w:rPr>
          <w:b/>
          <w:bCs/>
        </w:rPr>
        <w:t>”</w:t>
      </w:r>
      <w:r w:rsidRPr="00445784">
        <w:rPr>
          <w:b/>
          <w:bCs/>
        </w:rPr>
        <w:t>之间的动态平衡。</w:t>
      </w:r>
    </w:p>
    <w:p w14:paraId="1322E362" w14:textId="77777777" w:rsidR="002C5127" w:rsidRPr="00EF2E42" w:rsidRDefault="002C5127" w:rsidP="002C5127">
      <w:pPr>
        <w:ind w:firstLineChars="0" w:firstLine="0"/>
        <w:rPr>
          <w:rFonts w:ascii="宋体" w:hAnsi="宋体" w:hint="eastAsia"/>
          <w:color w:val="EE0000"/>
        </w:rPr>
      </w:pPr>
    </w:p>
    <w:p w14:paraId="3C79D715" w14:textId="77777777" w:rsidR="002C5127" w:rsidRPr="00EF2E42" w:rsidRDefault="002C5127" w:rsidP="002C5127">
      <w:pPr>
        <w:ind w:firstLineChars="0" w:firstLine="0"/>
        <w:rPr>
          <w:rFonts w:ascii="黑体" w:eastAsia="黑体" w:hAnsi="黑体" w:hint="eastAsia"/>
          <w:b/>
          <w:bCs/>
          <w:color w:val="EE0000"/>
        </w:rPr>
      </w:pPr>
    </w:p>
    <w:p w14:paraId="293D081D" w14:textId="77777777" w:rsidR="002C5127" w:rsidRPr="00EF2E42" w:rsidRDefault="002C5127" w:rsidP="002C5127">
      <w:pPr>
        <w:ind w:firstLineChars="0" w:firstLine="0"/>
        <w:rPr>
          <w:rFonts w:ascii="黑体" w:eastAsia="黑体" w:hAnsi="黑体" w:hint="eastAsia"/>
          <w:b/>
          <w:bCs/>
          <w:color w:val="EE0000"/>
        </w:rPr>
      </w:pPr>
    </w:p>
    <w:p w14:paraId="2E4F2E74" w14:textId="77777777" w:rsidR="006D6F6F" w:rsidRDefault="006D6F6F" w:rsidP="002C5127">
      <w:pPr>
        <w:ind w:firstLineChars="0" w:firstLine="0"/>
        <w:rPr>
          <w:rFonts w:ascii="宋体" w:hAnsi="宋体" w:hint="eastAsia"/>
          <w:b/>
          <w:bCs/>
        </w:rPr>
      </w:pPr>
      <w:bookmarkStart w:id="0" w:name="_Hlk203208282"/>
    </w:p>
    <w:p w14:paraId="12819958" w14:textId="77777777" w:rsidR="006D6F6F" w:rsidRDefault="006D6F6F" w:rsidP="002C5127">
      <w:pPr>
        <w:ind w:firstLineChars="0" w:firstLine="0"/>
        <w:rPr>
          <w:rFonts w:ascii="宋体" w:hAnsi="宋体"/>
          <w:b/>
          <w:bCs/>
        </w:rPr>
      </w:pPr>
    </w:p>
    <w:p w14:paraId="0D8EE4E1" w14:textId="77777777" w:rsidR="00F05A5B" w:rsidRDefault="00F05A5B" w:rsidP="002C5127">
      <w:pPr>
        <w:ind w:firstLineChars="0" w:firstLine="0"/>
        <w:rPr>
          <w:rFonts w:ascii="宋体" w:hAnsi="宋体"/>
          <w:b/>
          <w:bCs/>
        </w:rPr>
      </w:pPr>
    </w:p>
    <w:p w14:paraId="2110935C" w14:textId="77777777" w:rsidR="00F05A5B" w:rsidRDefault="00F05A5B" w:rsidP="002C5127">
      <w:pPr>
        <w:ind w:firstLineChars="0" w:firstLine="0"/>
        <w:rPr>
          <w:rFonts w:ascii="宋体" w:hAnsi="宋体"/>
          <w:b/>
          <w:bCs/>
        </w:rPr>
      </w:pPr>
    </w:p>
    <w:p w14:paraId="41B540BE" w14:textId="77777777" w:rsidR="00F05A5B" w:rsidRDefault="00F05A5B" w:rsidP="002C5127">
      <w:pPr>
        <w:ind w:firstLineChars="0" w:firstLine="0"/>
        <w:rPr>
          <w:rFonts w:ascii="宋体" w:hAnsi="宋体"/>
          <w:b/>
          <w:bCs/>
        </w:rPr>
      </w:pPr>
    </w:p>
    <w:p w14:paraId="45531E48" w14:textId="77777777" w:rsidR="00F05A5B" w:rsidRDefault="00F05A5B" w:rsidP="002C5127">
      <w:pPr>
        <w:ind w:firstLineChars="0" w:firstLine="0"/>
        <w:rPr>
          <w:rFonts w:ascii="宋体" w:hAnsi="宋体"/>
          <w:b/>
          <w:bCs/>
        </w:rPr>
      </w:pPr>
    </w:p>
    <w:p w14:paraId="2263CD50" w14:textId="77777777" w:rsidR="00F05A5B" w:rsidRDefault="00F05A5B" w:rsidP="002C5127">
      <w:pPr>
        <w:ind w:firstLineChars="0" w:firstLine="0"/>
        <w:rPr>
          <w:rFonts w:ascii="宋体" w:hAnsi="宋体"/>
          <w:b/>
          <w:bCs/>
        </w:rPr>
      </w:pPr>
    </w:p>
    <w:p w14:paraId="3EDD2595" w14:textId="77777777" w:rsidR="00F05A5B" w:rsidRDefault="00F05A5B" w:rsidP="002C5127">
      <w:pPr>
        <w:ind w:firstLineChars="0" w:firstLine="0"/>
        <w:rPr>
          <w:rFonts w:ascii="宋体" w:hAnsi="宋体"/>
          <w:b/>
          <w:bCs/>
        </w:rPr>
      </w:pPr>
    </w:p>
    <w:p w14:paraId="687DFA14" w14:textId="77777777" w:rsidR="00F05A5B" w:rsidRDefault="00F05A5B" w:rsidP="002C5127">
      <w:pPr>
        <w:ind w:firstLineChars="0" w:firstLine="0"/>
        <w:rPr>
          <w:rFonts w:ascii="宋体" w:hAnsi="宋体"/>
          <w:b/>
          <w:bCs/>
        </w:rPr>
      </w:pPr>
    </w:p>
    <w:p w14:paraId="5D923053" w14:textId="77777777" w:rsidR="00F05A5B" w:rsidRDefault="00F05A5B" w:rsidP="002C5127">
      <w:pPr>
        <w:ind w:firstLineChars="0" w:firstLine="0"/>
        <w:rPr>
          <w:rFonts w:ascii="宋体" w:hAnsi="宋体"/>
          <w:b/>
          <w:bCs/>
        </w:rPr>
      </w:pPr>
    </w:p>
    <w:p w14:paraId="68CF1E2F" w14:textId="77777777" w:rsidR="00F05A5B" w:rsidRDefault="00F05A5B" w:rsidP="002C5127">
      <w:pPr>
        <w:ind w:firstLineChars="0" w:firstLine="0"/>
        <w:rPr>
          <w:rFonts w:ascii="宋体" w:hAnsi="宋体"/>
          <w:b/>
          <w:bCs/>
        </w:rPr>
      </w:pPr>
    </w:p>
    <w:p w14:paraId="00CBC236" w14:textId="77777777" w:rsidR="00F05A5B" w:rsidRDefault="00F05A5B" w:rsidP="002C5127">
      <w:pPr>
        <w:ind w:firstLineChars="0" w:firstLine="0"/>
        <w:rPr>
          <w:rFonts w:ascii="宋体" w:hAnsi="宋体"/>
          <w:b/>
          <w:bCs/>
        </w:rPr>
      </w:pPr>
    </w:p>
    <w:p w14:paraId="52A80A65" w14:textId="77777777" w:rsidR="00F05A5B" w:rsidRDefault="00F05A5B" w:rsidP="002C5127">
      <w:pPr>
        <w:ind w:firstLineChars="0" w:firstLine="0"/>
        <w:rPr>
          <w:rFonts w:ascii="宋体" w:hAnsi="宋体"/>
          <w:b/>
          <w:bCs/>
        </w:rPr>
      </w:pPr>
    </w:p>
    <w:p w14:paraId="059439BD" w14:textId="77777777" w:rsidR="00F05A5B" w:rsidRDefault="00F05A5B" w:rsidP="002C5127">
      <w:pPr>
        <w:ind w:firstLineChars="0" w:firstLine="0"/>
        <w:rPr>
          <w:rFonts w:ascii="宋体" w:hAnsi="宋体"/>
          <w:b/>
          <w:bCs/>
        </w:rPr>
      </w:pPr>
    </w:p>
    <w:p w14:paraId="65A68725" w14:textId="77777777" w:rsidR="00F05A5B" w:rsidRDefault="00F05A5B" w:rsidP="002C5127">
      <w:pPr>
        <w:ind w:firstLineChars="0" w:firstLine="0"/>
        <w:rPr>
          <w:rFonts w:ascii="宋体" w:hAnsi="宋体"/>
          <w:b/>
          <w:bCs/>
        </w:rPr>
      </w:pPr>
    </w:p>
    <w:p w14:paraId="61EE903D" w14:textId="77777777" w:rsidR="00F05A5B" w:rsidRDefault="00F05A5B" w:rsidP="002C5127">
      <w:pPr>
        <w:ind w:firstLineChars="0" w:firstLine="0"/>
        <w:rPr>
          <w:rFonts w:ascii="宋体" w:hAnsi="宋体" w:hint="eastAsia"/>
          <w:b/>
          <w:bCs/>
        </w:rPr>
      </w:pPr>
    </w:p>
    <w:p w14:paraId="256CFEF4" w14:textId="79EC934F" w:rsidR="002C5127" w:rsidRPr="00445784" w:rsidRDefault="002C5127" w:rsidP="002C5127">
      <w:pPr>
        <w:ind w:firstLineChars="0" w:firstLine="0"/>
        <w:rPr>
          <w:rFonts w:ascii="宋体" w:hAnsi="宋体" w:hint="eastAsia"/>
          <w:b/>
          <w:bCs/>
        </w:rPr>
      </w:pPr>
      <w:r w:rsidRPr="00445784">
        <w:rPr>
          <w:rFonts w:ascii="宋体" w:hAnsi="宋体" w:hint="eastAsia"/>
          <w:b/>
          <w:bCs/>
        </w:rPr>
        <w:t>关键词：</w:t>
      </w:r>
      <w:bookmarkEnd w:id="0"/>
      <w:r w:rsidR="00445784">
        <w:rPr>
          <w:rFonts w:ascii="宋体" w:hAnsi="宋体" w:hint="eastAsia"/>
          <w:b/>
          <w:bCs/>
        </w:rPr>
        <w:t>人民币汇率、</w:t>
      </w:r>
      <w:r w:rsidR="00E818B8">
        <w:rPr>
          <w:rFonts w:ascii="宋体" w:hAnsi="宋体" w:hint="eastAsia"/>
          <w:b/>
          <w:bCs/>
        </w:rPr>
        <w:t>宏观经济研究、</w:t>
      </w:r>
      <w:r w:rsidR="00365608">
        <w:rPr>
          <w:rFonts w:ascii="宋体" w:hAnsi="宋体" w:hint="eastAsia"/>
          <w:b/>
          <w:bCs/>
        </w:rPr>
        <w:t>事件研究、名义广义美元指数</w:t>
      </w:r>
    </w:p>
    <w:p w14:paraId="7575B257" w14:textId="606E14D5" w:rsidR="00C82B1D" w:rsidRPr="00913A0F" w:rsidRDefault="00913A0F" w:rsidP="00913A0F">
      <w:pPr>
        <w:ind w:firstLine="640"/>
        <w:rPr>
          <w:rFonts w:ascii="黑体" w:eastAsia="黑体" w:hAnsi="黑体" w:hint="eastAsia"/>
          <w:sz w:val="32"/>
          <w:szCs w:val="32"/>
        </w:rPr>
      </w:pPr>
      <w:r w:rsidRPr="00EC0907">
        <w:rPr>
          <w:rFonts w:ascii="黑体" w:eastAsia="黑体" w:hAnsi="黑体" w:hint="eastAsia"/>
          <w:color w:val="EE0000"/>
          <w:sz w:val="32"/>
          <w:szCs w:val="32"/>
        </w:rPr>
        <w:br w:type="page"/>
      </w:r>
    </w:p>
    <w:p w14:paraId="1D1C57CE" w14:textId="73174DBF" w:rsidR="00EF58A6" w:rsidRDefault="006D6F6F" w:rsidP="00FE58CA">
      <w:pPr>
        <w:pStyle w:val="1"/>
      </w:pPr>
      <w:r>
        <w:rPr>
          <w:rFonts w:hint="eastAsia"/>
        </w:rPr>
        <w:lastRenderedPageBreak/>
        <w:t>引言</w:t>
      </w:r>
    </w:p>
    <w:p w14:paraId="2EB1805E" w14:textId="5876606D" w:rsidR="00494182" w:rsidRDefault="00494182" w:rsidP="00494182">
      <w:pPr>
        <w:ind w:firstLine="480"/>
        <w:rPr>
          <w:rFonts w:hint="eastAsia"/>
        </w:rPr>
      </w:pPr>
      <w:r>
        <w:rPr>
          <w:rFonts w:hint="eastAsia"/>
        </w:rPr>
        <w:t>在全球经济高度联动的当下，人民币汇率已经成为观察中国经济景气度与外部环境变化的重要窗口。汇率不仅反映贸易、资本流动和市场预期，也在宏观政策与国际事件的推动下呈现复杂的阶段性波动。因此，理解人民币汇率的驱动机制，对于判断经济走势、评估政策效果以及提升金融市场风险管理能力，都具有现实意义。</w:t>
      </w:r>
    </w:p>
    <w:p w14:paraId="198159EC" w14:textId="65EE4B4D" w:rsidR="00FE58CA" w:rsidRDefault="00494182" w:rsidP="00494182">
      <w:pPr>
        <w:ind w:firstLine="480"/>
      </w:pPr>
      <w:r>
        <w:rPr>
          <w:rFonts w:hint="eastAsia"/>
        </w:rPr>
        <w:t>尽管宏观指标如</w:t>
      </w:r>
      <w:r>
        <w:rPr>
          <w:rFonts w:hint="eastAsia"/>
        </w:rPr>
        <w:t>CPI</w:t>
      </w:r>
      <w:r>
        <w:rPr>
          <w:rFonts w:hint="eastAsia"/>
        </w:rPr>
        <w:t>、</w:t>
      </w:r>
      <w:r>
        <w:rPr>
          <w:rFonts w:hint="eastAsia"/>
        </w:rPr>
        <w:t>PMI</w:t>
      </w:r>
      <w:r>
        <w:rPr>
          <w:rFonts w:hint="eastAsia"/>
        </w:rPr>
        <w:t>、利差与</w:t>
      </w:r>
      <w:r w:rsidR="00445784">
        <w:rPr>
          <w:rFonts w:hint="eastAsia"/>
        </w:rPr>
        <w:t>名义广义美元指数</w:t>
      </w:r>
      <w:r>
        <w:rPr>
          <w:rFonts w:hint="eastAsia"/>
        </w:rPr>
        <w:t>被普遍认为会影响汇率，但它们之间的作用方向与强度在不同阶段常常出现差异。同时，重大社会事件如中美贸易摩擦、全球疫情、美联储加息周期</w:t>
      </w:r>
      <w:r w:rsidR="00FE58CA">
        <w:rPr>
          <w:rFonts w:hint="eastAsia"/>
        </w:rPr>
        <w:t>等等，</w:t>
      </w:r>
      <w:r>
        <w:rPr>
          <w:rFonts w:hint="eastAsia"/>
        </w:rPr>
        <w:t>往往</w:t>
      </w:r>
      <w:r w:rsidR="00FE58CA">
        <w:rPr>
          <w:rFonts w:hint="eastAsia"/>
        </w:rPr>
        <w:t>会</w:t>
      </w:r>
      <w:r>
        <w:rPr>
          <w:rFonts w:hint="eastAsia"/>
        </w:rPr>
        <w:t>打破原有的稳定关系，使汇率在短期内产生明显偏移。</w:t>
      </w:r>
    </w:p>
    <w:p w14:paraId="6A96572F" w14:textId="00D7E1B3" w:rsidR="00494182" w:rsidRDefault="00FE58CA" w:rsidP="00494182">
      <w:pPr>
        <w:ind w:firstLine="480"/>
        <w:rPr>
          <w:rFonts w:hint="eastAsia"/>
        </w:rPr>
      </w:pPr>
      <w:r>
        <w:rPr>
          <w:rFonts w:hint="eastAsia"/>
        </w:rPr>
        <w:t>因此，</w:t>
      </w:r>
      <w:r w:rsidR="00494182">
        <w:rPr>
          <w:rFonts w:hint="eastAsia"/>
        </w:rPr>
        <w:t>本研究希望回答两个关键问题：人民币汇率在正常时期主要受哪些宏观因素影响；在突发事件发生时，哪些力量会主导其短期波动。基于此，提出研究假设：一是长期走势更依赖</w:t>
      </w:r>
      <w:r w:rsidR="00445784">
        <w:rPr>
          <w:rFonts w:hint="eastAsia"/>
        </w:rPr>
        <w:t>名义广义美元指数</w:t>
      </w:r>
      <w:r w:rsidR="00494182">
        <w:rPr>
          <w:rFonts w:hint="eastAsia"/>
        </w:rPr>
        <w:t>与中美利差等外部金融变量；二是典型社会事件将显著放大短期波动，并改变宏观指标与汇率之间的相关结构。</w:t>
      </w:r>
    </w:p>
    <w:p w14:paraId="275794C4" w14:textId="56FF0283" w:rsidR="00494182" w:rsidRPr="00494182" w:rsidRDefault="00494182" w:rsidP="00494182">
      <w:pPr>
        <w:ind w:firstLine="480"/>
        <w:rPr>
          <w:rFonts w:hint="eastAsia"/>
        </w:rPr>
      </w:pPr>
      <w:r>
        <w:rPr>
          <w:rFonts w:hint="eastAsia"/>
        </w:rPr>
        <w:t>通过宏观指标分析与事件窗口法结合，本研究尝试以可视化的方式呈现汇率的“长期逻辑”与</w:t>
      </w:r>
      <w:r>
        <w:rPr>
          <w:rFonts w:hint="eastAsia"/>
        </w:rPr>
        <w:t>“</w:t>
      </w:r>
      <w:r>
        <w:rPr>
          <w:rFonts w:hint="eastAsia"/>
        </w:rPr>
        <w:t>短期冲击”，并以此构建更具解释力的观察框架。</w:t>
      </w:r>
    </w:p>
    <w:p w14:paraId="648F20B0" w14:textId="0E5D9F2A" w:rsidR="00FE58CA" w:rsidRDefault="00FE58CA" w:rsidP="00FE58CA">
      <w:pPr>
        <w:pStyle w:val="1"/>
      </w:pPr>
      <w:r>
        <w:rPr>
          <w:rFonts w:hint="eastAsia"/>
        </w:rPr>
        <w:t>文献综述</w:t>
      </w:r>
    </w:p>
    <w:p w14:paraId="36CD84C0" w14:textId="3D33B49B" w:rsidR="00445784" w:rsidRPr="00365608" w:rsidRDefault="00445784" w:rsidP="00445784">
      <w:pPr>
        <w:ind w:firstLine="480"/>
        <w:rPr>
          <w:rFonts w:hint="eastAsia"/>
          <w:color w:val="000000" w:themeColor="text1"/>
        </w:rPr>
      </w:pPr>
      <w:bookmarkStart w:id="1" w:name="OLE_LINK1"/>
      <w:r w:rsidRPr="00365608">
        <w:rPr>
          <w:rFonts w:hint="eastAsia"/>
          <w:color w:val="000000" w:themeColor="text1"/>
        </w:rPr>
        <w:t>人民币汇率的决定机制长期是国际金融与宏观经济研究的重要主题。现有文献多从利差、</w:t>
      </w:r>
      <w:r w:rsidRPr="00365608">
        <w:rPr>
          <w:rFonts w:hint="eastAsia"/>
          <w:color w:val="000000" w:themeColor="text1"/>
        </w:rPr>
        <w:t>名义广义美元指数</w:t>
      </w:r>
      <w:r w:rsidRPr="00365608">
        <w:rPr>
          <w:rFonts w:hint="eastAsia"/>
          <w:color w:val="000000" w:themeColor="text1"/>
        </w:rPr>
        <w:t>、宏观预期与政策不确定性等视角出发，对其波动性和变动结构进行了大量实证分析。</w:t>
      </w:r>
    </w:p>
    <w:p w14:paraId="61965D17" w14:textId="5B5892F1" w:rsidR="00445784" w:rsidRPr="00046C7A" w:rsidRDefault="00445784" w:rsidP="00445784">
      <w:pPr>
        <w:ind w:firstLine="480"/>
        <w:rPr>
          <w:rFonts w:hint="eastAsia"/>
          <w:color w:val="000000" w:themeColor="text1"/>
        </w:rPr>
      </w:pPr>
      <w:r w:rsidRPr="00046C7A">
        <w:rPr>
          <w:rFonts w:hint="eastAsia"/>
          <w:color w:val="000000" w:themeColor="text1"/>
        </w:rPr>
        <w:t>首先，在资本流动视角下</w:t>
      </w:r>
      <w:r w:rsidRPr="00046C7A">
        <w:rPr>
          <w:rFonts w:hint="eastAsia"/>
          <w:color w:val="000000" w:themeColor="text1"/>
        </w:rPr>
        <w:t>，</w:t>
      </w:r>
      <w:r w:rsidRPr="00046C7A">
        <w:rPr>
          <w:rFonts w:hint="eastAsia"/>
          <w:color w:val="000000" w:themeColor="text1"/>
        </w:rPr>
        <w:t>缪延亮、郝阳与费璇（</w:t>
      </w:r>
      <w:r w:rsidRPr="00046C7A">
        <w:rPr>
          <w:rFonts w:hint="eastAsia"/>
          <w:color w:val="000000" w:themeColor="text1"/>
        </w:rPr>
        <w:t>2021</w:t>
      </w:r>
      <w:r w:rsidRPr="00046C7A">
        <w:rPr>
          <w:rFonts w:hint="eastAsia"/>
          <w:color w:val="000000" w:themeColor="text1"/>
        </w:rPr>
        <w:t>）的研究指出，中国跨境资本流动并不仅仅由利差（</w:t>
      </w:r>
      <w:r w:rsidRPr="00046C7A">
        <w:rPr>
          <w:rFonts w:hint="eastAsia"/>
          <w:color w:val="000000" w:themeColor="text1"/>
        </w:rPr>
        <w:t>interest rate differential</w:t>
      </w:r>
      <w:r w:rsidRPr="00046C7A">
        <w:rPr>
          <w:rFonts w:hint="eastAsia"/>
          <w:color w:val="000000" w:themeColor="text1"/>
        </w:rPr>
        <w:t>）驱动，更深层次影响是</w:t>
      </w:r>
      <w:r w:rsidR="00365608" w:rsidRPr="00046C7A">
        <w:rPr>
          <w:rFonts w:hint="eastAsia"/>
          <w:color w:val="000000" w:themeColor="text1"/>
        </w:rPr>
        <w:t>名义广义美元指数（</w:t>
      </w:r>
      <w:r w:rsidR="00365608" w:rsidRPr="00046C7A">
        <w:rPr>
          <w:color w:val="000000" w:themeColor="text1"/>
        </w:rPr>
        <w:t>nominal broad dollar index</w:t>
      </w:r>
      <w:r w:rsidR="00365608" w:rsidRPr="00046C7A">
        <w:rPr>
          <w:rFonts w:hint="eastAsia"/>
          <w:color w:val="000000" w:themeColor="text1"/>
        </w:rPr>
        <w:t>）</w:t>
      </w:r>
      <w:r w:rsidRPr="00046C7A">
        <w:rPr>
          <w:rFonts w:hint="eastAsia"/>
          <w:color w:val="000000" w:themeColor="text1"/>
        </w:rPr>
        <w:t>。他们的实证结果表明，多边美元指数通过市场对汇率预期的引导作用影响资本流动，这在一定程度上解释了为何人民币汇率与资本流动之间存在显著的联动关系（</w:t>
      </w:r>
      <w:r w:rsidRPr="00046C7A">
        <w:rPr>
          <w:rFonts w:hint="eastAsia"/>
          <w:color w:val="000000" w:themeColor="text1"/>
        </w:rPr>
        <w:t>Miao,Hao,&amp;Xuan,2021</w:t>
      </w:r>
      <w:r w:rsidRPr="00046C7A">
        <w:rPr>
          <w:rFonts w:hint="eastAsia"/>
          <w:color w:val="000000" w:themeColor="text1"/>
        </w:rPr>
        <w:t>）。这种观点为人民币汇率在长期趋势中的驱动力提供了一个清晰的逻辑基础。</w:t>
      </w:r>
    </w:p>
    <w:p w14:paraId="630AEDC9" w14:textId="50A4E815" w:rsidR="00445784" w:rsidRPr="00046C7A" w:rsidRDefault="00445784" w:rsidP="00445784">
      <w:pPr>
        <w:ind w:firstLine="480"/>
        <w:rPr>
          <w:rFonts w:hint="eastAsia"/>
          <w:color w:val="000000" w:themeColor="text1"/>
        </w:rPr>
      </w:pPr>
      <w:r w:rsidRPr="00046C7A">
        <w:rPr>
          <w:rFonts w:hint="eastAsia"/>
          <w:color w:val="000000" w:themeColor="text1"/>
        </w:rPr>
        <w:t>其次，有关宏观经济政策不确定性（</w:t>
      </w:r>
      <w:r w:rsidRPr="00046C7A">
        <w:rPr>
          <w:rFonts w:hint="eastAsia"/>
          <w:color w:val="000000" w:themeColor="text1"/>
        </w:rPr>
        <w:t>Economic Policy Uncertainty, EPU</w:t>
      </w:r>
      <w:r w:rsidRPr="00046C7A">
        <w:rPr>
          <w:rFonts w:hint="eastAsia"/>
          <w:color w:val="000000" w:themeColor="text1"/>
        </w:rPr>
        <w:t>）对汇率的影响，近年来也成为研究热点。</w:t>
      </w:r>
      <w:r w:rsidRPr="00046C7A">
        <w:rPr>
          <w:rFonts w:hint="eastAsia"/>
          <w:color w:val="000000" w:themeColor="text1"/>
        </w:rPr>
        <w:t>Chang</w:t>
      </w:r>
      <w:r w:rsidRPr="00046C7A">
        <w:rPr>
          <w:rFonts w:hint="eastAsia"/>
          <w:color w:val="000000" w:themeColor="text1"/>
        </w:rPr>
        <w:t>等（</w:t>
      </w:r>
      <w:r w:rsidRPr="00046C7A">
        <w:rPr>
          <w:rFonts w:hint="eastAsia"/>
          <w:color w:val="000000" w:themeColor="text1"/>
        </w:rPr>
        <w:t>2022</w:t>
      </w:r>
      <w:r w:rsidRPr="00046C7A">
        <w:rPr>
          <w:rFonts w:hint="eastAsia"/>
          <w:color w:val="000000" w:themeColor="text1"/>
        </w:rPr>
        <w:t>）使用非线性</w:t>
      </w:r>
      <w:r w:rsidRPr="00046C7A">
        <w:rPr>
          <w:rFonts w:hint="eastAsia"/>
          <w:color w:val="000000" w:themeColor="text1"/>
        </w:rPr>
        <w:t>ARDL</w:t>
      </w:r>
      <w:r w:rsidRPr="00046C7A">
        <w:rPr>
          <w:rFonts w:hint="eastAsia"/>
          <w:color w:val="000000" w:themeColor="text1"/>
        </w:rPr>
        <w:t>模型和分位数</w:t>
      </w:r>
      <w:r w:rsidRPr="00046C7A">
        <w:rPr>
          <w:rFonts w:hint="eastAsia"/>
          <w:color w:val="000000" w:themeColor="text1"/>
        </w:rPr>
        <w:t>Granger</w:t>
      </w:r>
      <w:r w:rsidRPr="00046C7A">
        <w:rPr>
          <w:rFonts w:hint="eastAsia"/>
          <w:color w:val="000000" w:themeColor="text1"/>
        </w:rPr>
        <w:t>因果检验，研究了</w:t>
      </w:r>
      <w:r w:rsidRPr="00046C7A">
        <w:rPr>
          <w:rFonts w:hint="eastAsia"/>
          <w:color w:val="000000" w:themeColor="text1"/>
        </w:rPr>
        <w:t>EPU</w:t>
      </w:r>
      <w:r w:rsidRPr="00046C7A">
        <w:rPr>
          <w:rFonts w:hint="eastAsia"/>
          <w:color w:val="000000" w:themeColor="text1"/>
        </w:rPr>
        <w:t>不同方向（正面或负面冲击）对汇率的非对称影响。他们发现，不同国家在不同不确定性冲击下，对汇率的反应存在显著异质性（</w:t>
      </w:r>
      <w:r w:rsidRPr="00046C7A">
        <w:rPr>
          <w:rFonts w:hint="eastAsia"/>
          <w:color w:val="000000" w:themeColor="text1"/>
        </w:rPr>
        <w:t>Chang,2022</w:t>
      </w:r>
      <w:r w:rsidRPr="00046C7A">
        <w:rPr>
          <w:rFonts w:hint="eastAsia"/>
          <w:color w:val="000000" w:themeColor="text1"/>
        </w:rPr>
        <w:t>）。这类研究提示：政策事件（或不确定性）并非简单地线性影响汇率，而是通过预期、资本流动等机制对汇率波动产生结构性作用。</w:t>
      </w:r>
    </w:p>
    <w:p w14:paraId="07319C88" w14:textId="424C919C" w:rsidR="00445784" w:rsidRPr="00046C7A" w:rsidRDefault="00445784" w:rsidP="00445784">
      <w:pPr>
        <w:ind w:firstLine="480"/>
        <w:rPr>
          <w:rFonts w:hint="eastAsia"/>
          <w:color w:val="000000" w:themeColor="text1"/>
        </w:rPr>
      </w:pPr>
      <w:r w:rsidRPr="00046C7A">
        <w:rPr>
          <w:rFonts w:hint="eastAsia"/>
          <w:color w:val="000000" w:themeColor="text1"/>
        </w:rPr>
        <w:t>在中国背景下，夏华天（</w:t>
      </w:r>
      <w:r w:rsidRPr="00046C7A">
        <w:rPr>
          <w:rFonts w:hint="eastAsia"/>
          <w:color w:val="000000" w:themeColor="text1"/>
        </w:rPr>
        <w:t>2024</w:t>
      </w:r>
      <w:r w:rsidRPr="00046C7A">
        <w:rPr>
          <w:rFonts w:hint="eastAsia"/>
          <w:color w:val="000000" w:themeColor="text1"/>
        </w:rPr>
        <w:t>）对人民币汇率与中美</w:t>
      </w:r>
      <w:r w:rsidRPr="00046C7A">
        <w:rPr>
          <w:rFonts w:hint="eastAsia"/>
          <w:color w:val="000000" w:themeColor="text1"/>
        </w:rPr>
        <w:t>EPU</w:t>
      </w:r>
      <w:r w:rsidRPr="00046C7A">
        <w:rPr>
          <w:rFonts w:hint="eastAsia"/>
          <w:color w:val="000000" w:themeColor="text1"/>
        </w:rPr>
        <w:t>的双向关系进行了</w:t>
      </w:r>
      <w:r w:rsidRPr="00046C7A">
        <w:rPr>
          <w:rFonts w:hint="eastAsia"/>
          <w:color w:val="000000" w:themeColor="text1"/>
        </w:rPr>
        <w:t>VAR/VECM</w:t>
      </w:r>
      <w:r w:rsidRPr="00046C7A">
        <w:rPr>
          <w:rFonts w:hint="eastAsia"/>
          <w:color w:val="000000" w:themeColor="text1"/>
        </w:rPr>
        <w:t>建模分析。其研究指出，中国自身政策不确定性与美国</w:t>
      </w:r>
      <w:r w:rsidRPr="00046C7A">
        <w:rPr>
          <w:rFonts w:hint="eastAsia"/>
          <w:color w:val="000000" w:themeColor="text1"/>
        </w:rPr>
        <w:t>EPU</w:t>
      </w:r>
      <w:r w:rsidRPr="00046C7A">
        <w:rPr>
          <w:rFonts w:hint="eastAsia"/>
          <w:color w:val="000000" w:themeColor="text1"/>
        </w:rPr>
        <w:t>均会引起人民币对美元汇率波动，并且中国政策不确定性的影响更为显著（</w:t>
      </w:r>
      <w:r w:rsidRPr="00046C7A">
        <w:rPr>
          <w:rFonts w:hint="eastAsia"/>
          <w:color w:val="000000" w:themeColor="text1"/>
        </w:rPr>
        <w:t>Xia,2024</w:t>
      </w:r>
      <w:r w:rsidRPr="00046C7A">
        <w:rPr>
          <w:rFonts w:hint="eastAsia"/>
          <w:color w:val="000000" w:themeColor="text1"/>
        </w:rPr>
        <w:t>）。这些发现强调了在分析人民币汇率时，需要考虑政策不确定性这个维度，而非只看传统宏观变量。</w:t>
      </w:r>
    </w:p>
    <w:p w14:paraId="3D6A66AB" w14:textId="07C10DEA" w:rsidR="00445784" w:rsidRPr="00046C7A" w:rsidRDefault="00445784" w:rsidP="00445784">
      <w:pPr>
        <w:ind w:firstLine="480"/>
        <w:rPr>
          <w:rFonts w:hint="eastAsia"/>
          <w:color w:val="000000" w:themeColor="text1"/>
        </w:rPr>
      </w:pPr>
      <w:r w:rsidRPr="00046C7A">
        <w:rPr>
          <w:rFonts w:hint="eastAsia"/>
          <w:color w:val="000000" w:themeColor="text1"/>
        </w:rPr>
        <w:t>在更宏观制度层面，</w:t>
      </w:r>
      <w:r w:rsidRPr="00046C7A">
        <w:rPr>
          <w:rFonts w:hint="eastAsia"/>
          <w:color w:val="000000" w:themeColor="text1"/>
        </w:rPr>
        <w:t>IMF</w:t>
      </w:r>
      <w:r w:rsidRPr="00046C7A">
        <w:rPr>
          <w:rFonts w:hint="eastAsia"/>
          <w:color w:val="000000" w:themeColor="text1"/>
        </w:rPr>
        <w:t>工作论文（</w:t>
      </w:r>
      <w:r w:rsidRPr="00046C7A">
        <w:rPr>
          <w:rFonts w:hint="eastAsia"/>
          <w:color w:val="000000" w:themeColor="text1"/>
        </w:rPr>
        <w:t>McMahon</w:t>
      </w:r>
      <w:r w:rsidRPr="00046C7A">
        <w:rPr>
          <w:rFonts w:hint="eastAsia"/>
          <w:color w:val="000000" w:themeColor="text1"/>
        </w:rPr>
        <w:t>等</w:t>
      </w:r>
      <w:r w:rsidRPr="00046C7A">
        <w:rPr>
          <w:rFonts w:hint="eastAsia"/>
          <w:color w:val="000000" w:themeColor="text1"/>
        </w:rPr>
        <w:t>,2018</w:t>
      </w:r>
      <w:r w:rsidRPr="00046C7A">
        <w:rPr>
          <w:rFonts w:hint="eastAsia"/>
          <w:color w:val="000000" w:themeColor="text1"/>
        </w:rPr>
        <w:t>）分析了货币政策变动作为全球金融不稳定性源头的机制，以及各国（包括中国）如何通过汇率灵活性和资本账户</w:t>
      </w:r>
      <w:r w:rsidRPr="00046C7A">
        <w:rPr>
          <w:rFonts w:hint="eastAsia"/>
          <w:color w:val="000000" w:themeColor="text1"/>
        </w:rPr>
        <w:lastRenderedPageBreak/>
        <w:t>调节来吸收外部冲击。该研究指出，增强汇率弹性和宏观政策协调性是应对外部冲击的重要工具，也为人民币汇率长期变动提供了制度性解释（</w:t>
      </w:r>
      <w:r w:rsidRPr="00046C7A">
        <w:rPr>
          <w:rFonts w:hint="eastAsia"/>
          <w:color w:val="000000" w:themeColor="text1"/>
        </w:rPr>
        <w:t>McMahon,2018</w:t>
      </w:r>
      <w:r w:rsidRPr="00046C7A">
        <w:rPr>
          <w:rFonts w:hint="eastAsia"/>
          <w:color w:val="000000" w:themeColor="text1"/>
        </w:rPr>
        <w:t>）。</w:t>
      </w:r>
    </w:p>
    <w:p w14:paraId="0E97D2EE" w14:textId="77777777" w:rsidR="00445784" w:rsidRPr="00046C7A" w:rsidRDefault="00445784" w:rsidP="00445784">
      <w:pPr>
        <w:ind w:firstLine="480"/>
        <w:rPr>
          <w:rFonts w:hint="eastAsia"/>
          <w:color w:val="000000" w:themeColor="text1"/>
        </w:rPr>
      </w:pPr>
      <w:r w:rsidRPr="00046C7A">
        <w:rPr>
          <w:rFonts w:hint="eastAsia"/>
          <w:color w:val="000000" w:themeColor="text1"/>
        </w:rPr>
        <w:t>综上所述，现有文献主要集中在以下机制：</w:t>
      </w:r>
    </w:p>
    <w:p w14:paraId="7B18BA24" w14:textId="77777777" w:rsidR="00445784" w:rsidRPr="00046C7A" w:rsidRDefault="00445784" w:rsidP="00445784">
      <w:pPr>
        <w:pStyle w:val="a9"/>
        <w:numPr>
          <w:ilvl w:val="0"/>
          <w:numId w:val="52"/>
        </w:numPr>
        <w:ind w:firstLineChars="0"/>
        <w:rPr>
          <w:color w:val="000000" w:themeColor="text1"/>
        </w:rPr>
      </w:pPr>
      <w:r w:rsidRPr="00046C7A">
        <w:rPr>
          <w:rFonts w:hint="eastAsia"/>
          <w:color w:val="000000" w:themeColor="text1"/>
        </w:rPr>
        <w:t>利差</w:t>
      </w:r>
      <w:r w:rsidRPr="00046C7A">
        <w:rPr>
          <w:rFonts w:hint="eastAsia"/>
          <w:color w:val="000000" w:themeColor="text1"/>
        </w:rPr>
        <w:t>+</w:t>
      </w:r>
      <w:r w:rsidRPr="00046C7A">
        <w:rPr>
          <w:rFonts w:hint="eastAsia"/>
          <w:color w:val="000000" w:themeColor="text1"/>
        </w:rPr>
        <w:t>美元指数驱动资本流动（</w:t>
      </w:r>
      <w:r w:rsidRPr="00046C7A">
        <w:rPr>
          <w:rFonts w:hint="eastAsia"/>
          <w:color w:val="000000" w:themeColor="text1"/>
        </w:rPr>
        <w:t>Miao,Hao,&amp;Xuan,2021</w:t>
      </w:r>
      <w:r w:rsidRPr="00046C7A">
        <w:rPr>
          <w:rFonts w:hint="eastAsia"/>
          <w:color w:val="000000" w:themeColor="text1"/>
        </w:rPr>
        <w:t>）；</w:t>
      </w:r>
    </w:p>
    <w:p w14:paraId="1AFEBB79" w14:textId="650B3C64" w:rsidR="00445784" w:rsidRPr="00046C7A" w:rsidRDefault="00445784" w:rsidP="00445784">
      <w:pPr>
        <w:pStyle w:val="a9"/>
        <w:numPr>
          <w:ilvl w:val="0"/>
          <w:numId w:val="52"/>
        </w:numPr>
        <w:ind w:firstLineChars="0"/>
        <w:rPr>
          <w:rFonts w:hint="eastAsia"/>
          <w:color w:val="000000" w:themeColor="text1"/>
        </w:rPr>
      </w:pPr>
      <w:r w:rsidRPr="00046C7A">
        <w:rPr>
          <w:rFonts w:hint="eastAsia"/>
          <w:color w:val="000000" w:themeColor="text1"/>
        </w:rPr>
        <w:t>政策不确定性对汇率的非线性、结构性影响（</w:t>
      </w:r>
      <w:r w:rsidRPr="00046C7A">
        <w:rPr>
          <w:rFonts w:hint="eastAsia"/>
          <w:color w:val="000000" w:themeColor="text1"/>
        </w:rPr>
        <w:t>Chang,2022</w:t>
      </w:r>
      <w:r w:rsidRPr="00046C7A">
        <w:rPr>
          <w:rFonts w:hint="eastAsia"/>
          <w:color w:val="000000" w:themeColor="text1"/>
        </w:rPr>
        <w:t>；</w:t>
      </w:r>
      <w:r w:rsidRPr="00046C7A">
        <w:rPr>
          <w:rFonts w:hint="eastAsia"/>
          <w:color w:val="000000" w:themeColor="text1"/>
        </w:rPr>
        <w:t>Xia,2024</w:t>
      </w:r>
      <w:r w:rsidRPr="00046C7A">
        <w:rPr>
          <w:rFonts w:hint="eastAsia"/>
          <w:color w:val="000000" w:themeColor="text1"/>
        </w:rPr>
        <w:t>）；</w:t>
      </w:r>
    </w:p>
    <w:p w14:paraId="0078F8DA" w14:textId="61E860D0" w:rsidR="00445784" w:rsidRPr="00046C7A" w:rsidRDefault="00445784" w:rsidP="00445784">
      <w:pPr>
        <w:pStyle w:val="a9"/>
        <w:numPr>
          <w:ilvl w:val="0"/>
          <w:numId w:val="52"/>
        </w:numPr>
        <w:ind w:firstLineChars="0"/>
        <w:rPr>
          <w:rFonts w:hint="eastAsia"/>
          <w:color w:val="000000" w:themeColor="text1"/>
        </w:rPr>
      </w:pPr>
      <w:r w:rsidRPr="00046C7A">
        <w:rPr>
          <w:rFonts w:hint="eastAsia"/>
          <w:color w:val="000000" w:themeColor="text1"/>
        </w:rPr>
        <w:t>制度机制（如汇率制度）在吸收外部冲击中的作用（</w:t>
      </w:r>
      <w:r w:rsidRPr="00046C7A">
        <w:rPr>
          <w:rFonts w:hint="eastAsia"/>
          <w:color w:val="000000" w:themeColor="text1"/>
        </w:rPr>
        <w:t>McMahon,2018</w:t>
      </w:r>
      <w:r w:rsidRPr="00046C7A">
        <w:rPr>
          <w:rFonts w:hint="eastAsia"/>
          <w:color w:val="000000" w:themeColor="text1"/>
        </w:rPr>
        <w:t>）。</w:t>
      </w:r>
    </w:p>
    <w:p w14:paraId="6BB70105" w14:textId="77777777" w:rsidR="00445784" w:rsidRPr="00046C7A" w:rsidRDefault="00445784" w:rsidP="00445784">
      <w:pPr>
        <w:ind w:firstLine="480"/>
        <w:rPr>
          <w:rFonts w:hint="eastAsia"/>
          <w:color w:val="000000" w:themeColor="text1"/>
        </w:rPr>
      </w:pPr>
      <w:r w:rsidRPr="00046C7A">
        <w:rPr>
          <w:rFonts w:hint="eastAsia"/>
          <w:color w:val="000000" w:themeColor="text1"/>
        </w:rPr>
        <w:t>然而，这些研究中仍然存在若干空白与不足：</w:t>
      </w:r>
    </w:p>
    <w:p w14:paraId="6302684A" w14:textId="03AE71BE" w:rsidR="00445784" w:rsidRPr="00046C7A" w:rsidRDefault="00445784" w:rsidP="00445784">
      <w:pPr>
        <w:pStyle w:val="a9"/>
        <w:numPr>
          <w:ilvl w:val="0"/>
          <w:numId w:val="53"/>
        </w:numPr>
        <w:ind w:firstLineChars="0"/>
        <w:rPr>
          <w:rFonts w:hint="eastAsia"/>
          <w:color w:val="000000" w:themeColor="text1"/>
        </w:rPr>
      </w:pPr>
      <w:r w:rsidRPr="00046C7A">
        <w:rPr>
          <w:rFonts w:hint="eastAsia"/>
          <w:color w:val="000000" w:themeColor="text1"/>
        </w:rPr>
        <w:t>虽然利差与</w:t>
      </w:r>
      <w:r w:rsidRPr="00046C7A">
        <w:rPr>
          <w:rFonts w:hint="eastAsia"/>
          <w:color w:val="000000" w:themeColor="text1"/>
        </w:rPr>
        <w:t>名义广义</w:t>
      </w:r>
      <w:r w:rsidRPr="00046C7A">
        <w:rPr>
          <w:rFonts w:hint="eastAsia"/>
          <w:color w:val="000000" w:themeColor="text1"/>
        </w:rPr>
        <w:t>美元指数被广泛研究，但很少有文献结合典型社会事件（如贸易战、疫情、美联储加息等）来分析这些变量在冲击期的结构性变化。</w:t>
      </w:r>
    </w:p>
    <w:p w14:paraId="1DB5F0E8" w14:textId="7904A032" w:rsidR="00445784" w:rsidRPr="00046C7A" w:rsidRDefault="00445784" w:rsidP="00445784">
      <w:pPr>
        <w:pStyle w:val="a9"/>
        <w:numPr>
          <w:ilvl w:val="0"/>
          <w:numId w:val="53"/>
        </w:numPr>
        <w:ind w:firstLineChars="0"/>
        <w:rPr>
          <w:rFonts w:hint="eastAsia"/>
          <w:color w:val="000000" w:themeColor="text1"/>
        </w:rPr>
      </w:pPr>
      <w:r w:rsidRPr="00046C7A">
        <w:rPr>
          <w:rFonts w:hint="eastAsia"/>
          <w:color w:val="000000" w:themeColor="text1"/>
        </w:rPr>
        <w:t>目前对人民币汇率对重大事件（“突发冲击”）的短期反应的研究，更多基于事件研究，而很少同时结合宏观指标和资本流动机制。</w:t>
      </w:r>
    </w:p>
    <w:p w14:paraId="3D71CB45" w14:textId="2013F68E" w:rsidR="00445784" w:rsidRPr="00046C7A" w:rsidRDefault="00445784" w:rsidP="00445784">
      <w:pPr>
        <w:pStyle w:val="a9"/>
        <w:numPr>
          <w:ilvl w:val="0"/>
          <w:numId w:val="53"/>
        </w:numPr>
        <w:ind w:firstLineChars="0"/>
        <w:rPr>
          <w:rFonts w:hint="eastAsia"/>
          <w:color w:val="000000" w:themeColor="text1"/>
        </w:rPr>
      </w:pPr>
      <w:r w:rsidRPr="00046C7A">
        <w:rPr>
          <w:rFonts w:hint="eastAsia"/>
          <w:color w:val="000000" w:themeColor="text1"/>
        </w:rPr>
        <w:t>在全球金融周期研究中，已有研究关注宏观新闻冲击的敏感度，但对</w:t>
      </w:r>
      <w:r w:rsidRPr="00046C7A">
        <w:rPr>
          <w:rFonts w:hint="eastAsia"/>
          <w:color w:val="000000" w:themeColor="text1"/>
        </w:rPr>
        <w:t>CPI</w:t>
      </w:r>
      <w:r w:rsidRPr="00046C7A">
        <w:rPr>
          <w:rFonts w:hint="eastAsia"/>
          <w:color w:val="000000" w:themeColor="text1"/>
        </w:rPr>
        <w:t>、</w:t>
      </w:r>
      <w:r w:rsidRPr="00046C7A">
        <w:rPr>
          <w:rFonts w:hint="eastAsia"/>
          <w:color w:val="000000" w:themeColor="text1"/>
        </w:rPr>
        <w:t>PMI</w:t>
      </w:r>
      <w:r w:rsidRPr="00046C7A">
        <w:rPr>
          <w:rFonts w:hint="eastAsia"/>
          <w:color w:val="000000" w:themeColor="text1"/>
        </w:rPr>
        <w:t>等宏观先行指标的长期驱动作用与周期性互动的讨论仍较少。</w:t>
      </w:r>
    </w:p>
    <w:p w14:paraId="343BA855" w14:textId="49604969" w:rsidR="00CB552A" w:rsidRPr="00046C7A" w:rsidRDefault="00445784" w:rsidP="00445784">
      <w:pPr>
        <w:ind w:firstLine="480"/>
        <w:rPr>
          <w:rFonts w:hint="eastAsia"/>
          <w:color w:val="000000" w:themeColor="text1"/>
        </w:rPr>
      </w:pPr>
      <w:r w:rsidRPr="00046C7A">
        <w:rPr>
          <w:rFonts w:hint="eastAsia"/>
          <w:color w:val="000000" w:themeColor="text1"/>
        </w:rPr>
        <w:t>基于上述分析，本研究有必要将宏观经济指标（例如</w:t>
      </w:r>
      <w:r w:rsidRPr="00046C7A">
        <w:rPr>
          <w:rFonts w:hint="eastAsia"/>
          <w:color w:val="000000" w:themeColor="text1"/>
        </w:rPr>
        <w:t>CPI</w:t>
      </w:r>
      <w:r w:rsidRPr="00046C7A">
        <w:rPr>
          <w:rFonts w:hint="eastAsia"/>
          <w:color w:val="000000" w:themeColor="text1"/>
        </w:rPr>
        <w:t>、</w:t>
      </w:r>
      <w:r w:rsidRPr="00046C7A">
        <w:rPr>
          <w:rFonts w:hint="eastAsia"/>
          <w:color w:val="000000" w:themeColor="text1"/>
        </w:rPr>
        <w:t>PMI</w:t>
      </w:r>
      <w:r w:rsidRPr="00046C7A">
        <w:rPr>
          <w:rFonts w:hint="eastAsia"/>
          <w:color w:val="000000" w:themeColor="text1"/>
        </w:rPr>
        <w:t>、利差、美元指数）与典型社会事件结合起来，通过可视化和事件窗口方法同时考察长期和短期机制。这不仅填补了以往研究中对事件叙事与宏观驱动因素共存的研究缺口，也能够提供对人民币汇率“力量平衡”的更全面理解。</w:t>
      </w:r>
    </w:p>
    <w:bookmarkEnd w:id="1"/>
    <w:p w14:paraId="4E97C2A6" w14:textId="4F789FD5" w:rsidR="00FE58CA" w:rsidRDefault="00FE58CA" w:rsidP="00FE58CA">
      <w:pPr>
        <w:pStyle w:val="1"/>
      </w:pPr>
      <w:r>
        <w:rPr>
          <w:rFonts w:hint="eastAsia"/>
        </w:rPr>
        <w:t>数据说明</w:t>
      </w:r>
    </w:p>
    <w:p w14:paraId="5C2D8D11" w14:textId="03680FAC" w:rsidR="00FE58CA" w:rsidRDefault="00FE58CA" w:rsidP="00FE58CA">
      <w:pPr>
        <w:ind w:firstLine="480"/>
        <w:rPr>
          <w:rFonts w:hint="eastAsia"/>
        </w:rPr>
      </w:pPr>
      <w:r>
        <w:rPr>
          <w:rFonts w:hint="eastAsia"/>
        </w:rPr>
        <w:t>本研究</w:t>
      </w:r>
      <w:r w:rsidRPr="00F36A37">
        <w:rPr>
          <w:rFonts w:hint="eastAsia"/>
        </w:rPr>
        <w:t>采用公开金融数据库与官方统计数据作为主要数据来源。汇率数据将来自中国外汇交易中心公布的人民币兑美元即期汇率（</w:t>
      </w:r>
      <w:r w:rsidRPr="00F36A37">
        <w:rPr>
          <w:rFonts w:hint="eastAsia"/>
        </w:rPr>
        <w:t>CNY/USD</w:t>
      </w:r>
      <w:r w:rsidRPr="00F36A37">
        <w:rPr>
          <w:rFonts w:hint="eastAsia"/>
        </w:rPr>
        <w:t>），宏观经济变量（如</w:t>
      </w:r>
      <w:r w:rsidRPr="00F36A37">
        <w:rPr>
          <w:rFonts w:hint="eastAsia"/>
        </w:rPr>
        <w:t>CPI</w:t>
      </w:r>
      <w:r w:rsidRPr="00F36A37">
        <w:rPr>
          <w:rFonts w:hint="eastAsia"/>
        </w:rPr>
        <w:t>、</w:t>
      </w:r>
      <w:r w:rsidRPr="00F36A37">
        <w:rPr>
          <w:rFonts w:hint="eastAsia"/>
        </w:rPr>
        <w:t>PMI</w:t>
      </w:r>
      <w:r w:rsidRPr="00F36A37">
        <w:rPr>
          <w:rFonts w:hint="eastAsia"/>
        </w:rPr>
        <w:t>、进出口数据等）将从国家统计局和中国人民银行获取；外部金融指标（如</w:t>
      </w:r>
      <w:r w:rsidR="00F36A37">
        <w:rPr>
          <w:rFonts w:hint="eastAsia"/>
        </w:rPr>
        <w:t>名义广义</w:t>
      </w:r>
      <w:r w:rsidRPr="00F36A37">
        <w:rPr>
          <w:rFonts w:hint="eastAsia"/>
        </w:rPr>
        <w:t>美元指数等）将从</w:t>
      </w:r>
      <w:r w:rsidRPr="00F36A37">
        <w:rPr>
          <w:rFonts w:hint="eastAsia"/>
        </w:rPr>
        <w:t>FRED</w:t>
      </w:r>
      <w:r w:rsidRPr="00F36A37">
        <w:rPr>
          <w:rFonts w:hint="eastAsia"/>
        </w:rPr>
        <w:t>数据库与权威金融数据接口中获得。此外，为分析典型社会事件的冲击，将通过公开新闻时间线与政策发布记录确定事件窗口期。</w:t>
      </w:r>
      <w:r>
        <w:rPr>
          <w:rFonts w:hint="eastAsia"/>
        </w:rPr>
        <w:t>数据格式以时间序列为主，包含日度、月度和季度频率，根据具体指标进行频率对齐。</w:t>
      </w:r>
    </w:p>
    <w:p w14:paraId="6C502AB6" w14:textId="004788A5" w:rsidR="00FE58CA" w:rsidRPr="00FE58CA" w:rsidRDefault="00FE58CA" w:rsidP="00FE58CA">
      <w:pPr>
        <w:ind w:firstLine="480"/>
        <w:rPr>
          <w:rFonts w:hint="eastAsia"/>
        </w:rPr>
      </w:pPr>
      <w:r>
        <w:rPr>
          <w:rFonts w:hint="eastAsia"/>
        </w:rPr>
        <w:t>数据清洗将聚焦缺失值处理、异常值识别与频率统一。对于缺失值，采用线性插值或删除窗口外数据的方式；对可能存在跳点的异常值，通过</w:t>
      </w:r>
      <w:r>
        <w:rPr>
          <w:rFonts w:hint="eastAsia"/>
        </w:rPr>
        <w:t>z-score</w:t>
      </w:r>
      <w:r>
        <w:rPr>
          <w:rFonts w:hint="eastAsia"/>
        </w:rPr>
        <w:t>检验或</w:t>
      </w:r>
      <w:r>
        <w:rPr>
          <w:rFonts w:hint="eastAsia"/>
        </w:rPr>
        <w:t>IQR</w:t>
      </w:r>
      <w:r>
        <w:rPr>
          <w:rFonts w:hint="eastAsia"/>
        </w:rPr>
        <w:t>（四分位距）进行识别和修正；跨频率数据将在可控误差范围内进行下采样或滚动平均以实现统一尺度。最终数据将通过随机抽样比对、趋势合理性检查等方式进行验证，确保分析结果具有稳定性。</w:t>
      </w:r>
    </w:p>
    <w:p w14:paraId="7190D5CE" w14:textId="504B87CB" w:rsidR="00FE58CA" w:rsidRDefault="00FE58CA" w:rsidP="00FE58CA">
      <w:pPr>
        <w:pStyle w:val="1"/>
      </w:pPr>
      <w:r>
        <w:rPr>
          <w:rFonts w:hint="eastAsia"/>
        </w:rPr>
        <w:t>研究方法</w:t>
      </w:r>
    </w:p>
    <w:p w14:paraId="2258FA0A" w14:textId="77777777" w:rsidR="00FE58CA" w:rsidRDefault="00FE58CA" w:rsidP="00FE58CA">
      <w:pPr>
        <w:ind w:firstLine="480"/>
      </w:pPr>
      <w:r w:rsidRPr="00FE58CA">
        <w:rPr>
          <w:rFonts w:hint="eastAsia"/>
        </w:rPr>
        <w:t>为系统回答研究问题，本研究采用统计分析、相关性检验、事件研究法以及可视化呈现等多层次方法。</w:t>
      </w:r>
    </w:p>
    <w:p w14:paraId="3D83E371" w14:textId="33B5734A" w:rsidR="00FE58CA" w:rsidRDefault="00FE58CA" w:rsidP="00FE58CA">
      <w:pPr>
        <w:ind w:firstLine="480"/>
      </w:pPr>
      <w:r w:rsidRPr="00FE58CA">
        <w:rPr>
          <w:rFonts w:hint="eastAsia"/>
        </w:rPr>
        <w:t>首先使用皮尔森相关系数与滞后相关分析，探查人民币汇率与</w:t>
      </w:r>
      <w:r w:rsidR="00365608">
        <w:rPr>
          <w:rFonts w:hint="eastAsia"/>
        </w:rPr>
        <w:t>名义广义美元指数</w:t>
      </w:r>
      <w:r w:rsidRPr="00FE58CA">
        <w:rPr>
          <w:rFonts w:hint="eastAsia"/>
        </w:rPr>
        <w:t>、利差等变量之间的基础关联；在部分非线性变量中，将尝试采用</w:t>
      </w:r>
      <w:r w:rsidRPr="00FE58CA">
        <w:rPr>
          <w:rFonts w:hint="eastAsia"/>
        </w:rPr>
        <w:t>Spearman</w:t>
      </w:r>
      <w:r w:rsidRPr="00FE58CA">
        <w:rPr>
          <w:rFonts w:hint="eastAsia"/>
        </w:rPr>
        <w:t>秩相关或简单的线性回归模型。</w:t>
      </w:r>
    </w:p>
    <w:p w14:paraId="1C86D005" w14:textId="2511466E" w:rsidR="00FE58CA" w:rsidRPr="00FE58CA" w:rsidRDefault="00FE58CA" w:rsidP="00FE58CA">
      <w:pPr>
        <w:ind w:firstLine="480"/>
        <w:rPr>
          <w:rFonts w:hint="eastAsia"/>
        </w:rPr>
      </w:pPr>
      <w:r w:rsidRPr="00FE58CA">
        <w:rPr>
          <w:rFonts w:hint="eastAsia"/>
        </w:rPr>
        <w:t>其次，在分析外部冲击时，采用事件研究法</w:t>
      </w:r>
      <w:r>
        <w:rPr>
          <w:rFonts w:hint="eastAsia"/>
        </w:rPr>
        <w:t>：本研究将</w:t>
      </w:r>
      <w:r w:rsidRPr="00FE58CA">
        <w:rPr>
          <w:rFonts w:hint="eastAsia"/>
        </w:rPr>
        <w:t>以特定事件前后窗口（如±</w:t>
      </w:r>
      <w:r w:rsidRPr="00FE58CA">
        <w:rPr>
          <w:rFonts w:hint="eastAsia"/>
        </w:rPr>
        <w:t>10</w:t>
      </w:r>
      <w:r w:rsidRPr="00FE58CA">
        <w:rPr>
          <w:rFonts w:hint="eastAsia"/>
        </w:rPr>
        <w:t>天或±</w:t>
      </w:r>
      <w:r w:rsidRPr="00FE58CA">
        <w:rPr>
          <w:rFonts w:hint="eastAsia"/>
        </w:rPr>
        <w:t>20</w:t>
      </w:r>
      <w:r w:rsidRPr="00FE58CA">
        <w:rPr>
          <w:rFonts w:hint="eastAsia"/>
        </w:rPr>
        <w:t>天）为尺度，对汇率波动率、方向变动与短期回调进行量化比较。为了更</w:t>
      </w:r>
      <w:r w:rsidRPr="00FE58CA">
        <w:rPr>
          <w:rFonts w:hint="eastAsia"/>
        </w:rPr>
        <w:lastRenderedPageBreak/>
        <w:t>直观呈现结果，本研究将使用折线图、事件标注图、双轴图及波动率热力图等可视化方式展示汇率的结构性变化。</w:t>
      </w:r>
    </w:p>
    <w:p w14:paraId="6CE91DF9" w14:textId="2B36EA4A" w:rsidR="00FE58CA" w:rsidRDefault="00FE58CA" w:rsidP="00FE58CA">
      <w:pPr>
        <w:pStyle w:val="1"/>
      </w:pPr>
      <w:r>
        <w:rPr>
          <w:rFonts w:hint="eastAsia"/>
        </w:rPr>
        <w:t>预期成果</w:t>
      </w:r>
    </w:p>
    <w:p w14:paraId="3806DD10" w14:textId="77777777" w:rsidR="00FE58CA" w:rsidRDefault="00FE58CA" w:rsidP="00FE58CA">
      <w:pPr>
        <w:ind w:firstLine="480"/>
      </w:pPr>
      <w:r w:rsidRPr="00FE58CA">
        <w:rPr>
          <w:rFonts w:hint="eastAsia"/>
        </w:rPr>
        <w:t>本研究</w:t>
      </w:r>
      <w:r>
        <w:rPr>
          <w:rFonts w:hint="eastAsia"/>
        </w:rPr>
        <w:t>预计产出</w:t>
      </w:r>
      <w:r w:rsidRPr="00FE58CA">
        <w:rPr>
          <w:rFonts w:hint="eastAsia"/>
        </w:rPr>
        <w:t>三类成果</w:t>
      </w:r>
      <w:r>
        <w:rPr>
          <w:rFonts w:hint="eastAsia"/>
        </w:rPr>
        <w:t>：</w:t>
      </w:r>
    </w:p>
    <w:p w14:paraId="1AAB29A9" w14:textId="7E8E8D4F" w:rsidR="00FE58CA" w:rsidRDefault="00CB552A" w:rsidP="00CB552A">
      <w:pPr>
        <w:pStyle w:val="a9"/>
        <w:numPr>
          <w:ilvl w:val="0"/>
          <w:numId w:val="51"/>
        </w:numPr>
        <w:ind w:firstLineChars="0"/>
      </w:pPr>
      <w:r w:rsidRPr="00CB552A">
        <w:rPr>
          <w:rFonts w:hint="eastAsia"/>
          <w:b/>
          <w:bCs/>
        </w:rPr>
        <w:t>长期关联图谱</w:t>
      </w:r>
      <w:r>
        <w:br/>
      </w:r>
      <w:r w:rsidR="00FE58CA" w:rsidRPr="00FE58CA">
        <w:rPr>
          <w:rFonts w:hint="eastAsia"/>
        </w:rPr>
        <w:t>描绘人民币汇率与主要宏观指标之间的长期关联图谱，识别在不同阶段影响最强的变量；</w:t>
      </w:r>
    </w:p>
    <w:p w14:paraId="5DB403BB" w14:textId="3A5981EC" w:rsidR="00FE58CA" w:rsidRDefault="00CB552A" w:rsidP="00FE58CA">
      <w:pPr>
        <w:pStyle w:val="a9"/>
        <w:numPr>
          <w:ilvl w:val="0"/>
          <w:numId w:val="51"/>
        </w:numPr>
        <w:ind w:firstLineChars="0"/>
      </w:pPr>
      <w:r w:rsidRPr="00CB552A">
        <w:rPr>
          <w:rFonts w:hint="eastAsia"/>
          <w:b/>
          <w:bCs/>
        </w:rPr>
        <w:t>事件汇率响应图</w:t>
      </w:r>
      <w:r>
        <w:br/>
      </w:r>
      <w:r w:rsidR="00FE58CA" w:rsidRPr="00FE58CA">
        <w:rPr>
          <w:rFonts w:hint="eastAsia"/>
        </w:rPr>
        <w:t>构建关键事件的汇率响应图，展示突发事件如何改变市场预期；</w:t>
      </w:r>
    </w:p>
    <w:p w14:paraId="241BCAA3" w14:textId="43A26987" w:rsidR="00FE58CA" w:rsidRDefault="00CB552A" w:rsidP="00FE58CA">
      <w:pPr>
        <w:pStyle w:val="a9"/>
        <w:numPr>
          <w:ilvl w:val="0"/>
          <w:numId w:val="51"/>
        </w:numPr>
        <w:ind w:firstLineChars="0"/>
      </w:pPr>
      <w:r w:rsidRPr="00CB552A">
        <w:rPr>
          <w:rFonts w:hint="eastAsia"/>
          <w:b/>
          <w:bCs/>
        </w:rPr>
        <w:t>汇率波动解释框架</w:t>
      </w:r>
      <w:r>
        <w:br/>
      </w:r>
      <w:r w:rsidR="00FE58CA" w:rsidRPr="00FE58CA">
        <w:rPr>
          <w:rFonts w:hint="eastAsia"/>
        </w:rPr>
        <w:t>提出一个结合“长期逻辑”与“短期冲击”的解释框架，用于理解人民币汇率的波动模式。</w:t>
      </w:r>
    </w:p>
    <w:p w14:paraId="5D372165" w14:textId="7762CB3D" w:rsidR="00FE58CA" w:rsidRPr="00FE58CA" w:rsidRDefault="00FE58CA" w:rsidP="00FE58CA">
      <w:pPr>
        <w:ind w:firstLine="480"/>
        <w:rPr>
          <w:rFonts w:hint="eastAsia"/>
        </w:rPr>
      </w:pPr>
      <w:r w:rsidRPr="00FE58CA">
        <w:rPr>
          <w:rFonts w:hint="eastAsia"/>
        </w:rPr>
        <w:t>这些成果将直接回应研究的两个核心问题，并为后续深入分析提供基础。</w:t>
      </w:r>
    </w:p>
    <w:p w14:paraId="31D29BC4" w14:textId="2A46A2C3" w:rsidR="00FE58CA" w:rsidRDefault="00FE58CA" w:rsidP="00FE58CA">
      <w:pPr>
        <w:pStyle w:val="1"/>
      </w:pPr>
      <w:r>
        <w:rPr>
          <w:rFonts w:hint="eastAsia"/>
        </w:rPr>
        <w:t>结论</w:t>
      </w:r>
    </w:p>
    <w:p w14:paraId="3F128275" w14:textId="03A040F6" w:rsidR="00FE58CA" w:rsidRPr="00FE58CA" w:rsidRDefault="00CB552A" w:rsidP="00FE58CA">
      <w:pPr>
        <w:ind w:firstLine="480"/>
        <w:rPr>
          <w:rFonts w:hint="eastAsia"/>
        </w:rPr>
      </w:pPr>
      <w:r w:rsidRPr="00CB552A">
        <w:rPr>
          <w:rFonts w:hint="eastAsia"/>
        </w:rPr>
        <w:t>本开题报告确定了人民币汇率驱动因素研究的主题，通过宏观指标与典型事件结合的方式，尝试构建一个兼具解释力和可视化表达的分析体系。研究将从数据获取、清洗、建模到图像呈现的全流程展开，力求在有限范围内给出对汇率波动更清晰的理解框架。预期本研究不仅能帮助识别影响人民币汇率的关键力量，也能为金融数据分析中“数据</w:t>
      </w:r>
      <w:r w:rsidRPr="00CB552A">
        <w:rPr>
          <w:rFonts w:hint="eastAsia"/>
        </w:rPr>
        <w:t>+</w:t>
      </w:r>
      <w:r w:rsidRPr="00CB552A">
        <w:rPr>
          <w:rFonts w:hint="eastAsia"/>
        </w:rPr>
        <w:t>事件”结合的研究思路提供示范，从而丰富个人研究项目的深度与表达方式。</w:t>
      </w:r>
    </w:p>
    <w:p w14:paraId="0469E4F4" w14:textId="5B0DBC40" w:rsidR="00803973" w:rsidRDefault="00C460F6" w:rsidP="00046C7A">
      <w:pPr>
        <w:pStyle w:val="1"/>
      </w:pPr>
      <w:r w:rsidRPr="00854DDA">
        <w:rPr>
          <w:rFonts w:hint="eastAsia"/>
        </w:rPr>
        <w:t>参考文献</w:t>
      </w:r>
    </w:p>
    <w:p w14:paraId="220DF047" w14:textId="43AAB4DF" w:rsidR="00895661" w:rsidRDefault="00895661" w:rsidP="00895661">
      <w:pPr>
        <w:pStyle w:val="a9"/>
        <w:numPr>
          <w:ilvl w:val="0"/>
          <w:numId w:val="54"/>
        </w:numPr>
        <w:ind w:firstLineChars="0"/>
      </w:pPr>
      <w:r>
        <w:t>Chang, B. H., Derindag, O. F., Hacievliyagil, N., &amp; Canakci, M. (2022). Exchange rate response to economic policy uncertainty: Evidence beyond asymmetry. Humanities and Social Sciences Communications, 9(1), 358. https://doi.org/10.1057/s41599-022-01372-5</w:t>
      </w:r>
      <w:r>
        <w:rPr>
          <w:rFonts w:hint="eastAsia"/>
        </w:rPr>
        <w:t>.</w:t>
      </w:r>
    </w:p>
    <w:p w14:paraId="0BC79462" w14:textId="6DCA9B6F" w:rsidR="00895661" w:rsidRDefault="00895661" w:rsidP="00895661">
      <w:pPr>
        <w:pStyle w:val="a9"/>
        <w:numPr>
          <w:ilvl w:val="0"/>
          <w:numId w:val="54"/>
        </w:numPr>
        <w:ind w:firstLineChars="0"/>
        <w:rPr>
          <w:rFonts w:hint="eastAsia"/>
        </w:rPr>
      </w:pPr>
      <w:r>
        <w:rPr>
          <w:rFonts w:hint="eastAsia"/>
        </w:rPr>
        <w:t>Impact of US monetary policy uncertainty on RMB exchange rate volatility:The role of international capital flows</w:t>
      </w:r>
      <w:r>
        <w:rPr>
          <w:rFonts w:hint="eastAsia"/>
        </w:rPr>
        <w:t>—</w:t>
      </w:r>
      <w:r>
        <w:rPr>
          <w:rFonts w:hint="eastAsia"/>
        </w:rPr>
        <w:t>ScienceDirect. (</w:t>
      </w:r>
      <w:r>
        <w:rPr>
          <w:rFonts w:hint="eastAsia"/>
        </w:rPr>
        <w:t>不详</w:t>
      </w:r>
      <w:r>
        <w:rPr>
          <w:rFonts w:hint="eastAsia"/>
        </w:rPr>
        <w:t xml:space="preserve">). </w:t>
      </w:r>
      <w:r>
        <w:rPr>
          <w:rFonts w:hint="eastAsia"/>
        </w:rPr>
        <w:t>取读于</w:t>
      </w:r>
      <w:r>
        <w:rPr>
          <w:rFonts w:hint="eastAsia"/>
        </w:rPr>
        <w:t xml:space="preserve"> 2025</w:t>
      </w:r>
      <w:r>
        <w:rPr>
          <w:rFonts w:hint="eastAsia"/>
        </w:rPr>
        <w:t>年</w:t>
      </w:r>
      <w:r>
        <w:rPr>
          <w:rFonts w:hint="eastAsia"/>
        </w:rPr>
        <w:t>11</w:t>
      </w:r>
      <w:r>
        <w:rPr>
          <w:rFonts w:hint="eastAsia"/>
        </w:rPr>
        <w:t>月</w:t>
      </w:r>
      <w:r>
        <w:rPr>
          <w:rFonts w:hint="eastAsia"/>
        </w:rPr>
        <w:t>17</w:t>
      </w:r>
      <w:r>
        <w:rPr>
          <w:rFonts w:hint="eastAsia"/>
        </w:rPr>
        <w:t>日</w:t>
      </w:r>
      <w:r>
        <w:rPr>
          <w:rFonts w:hint="eastAsia"/>
        </w:rPr>
        <w:t xml:space="preserve">, </w:t>
      </w:r>
      <w:r>
        <w:rPr>
          <w:rFonts w:hint="eastAsia"/>
        </w:rPr>
        <w:t>从</w:t>
      </w:r>
      <w:r>
        <w:rPr>
          <w:rFonts w:hint="eastAsia"/>
        </w:rPr>
        <w:t xml:space="preserve"> https://www.sciencedirect.com/science/article/abs/pii/S1544612323009546</w:t>
      </w:r>
      <w:r>
        <w:rPr>
          <w:rFonts w:hint="eastAsia"/>
        </w:rPr>
        <w:t>.</w:t>
      </w:r>
    </w:p>
    <w:p w14:paraId="02943D1C" w14:textId="77777777" w:rsidR="00895661" w:rsidRDefault="00895661" w:rsidP="00895661">
      <w:pPr>
        <w:pStyle w:val="a9"/>
        <w:numPr>
          <w:ilvl w:val="0"/>
          <w:numId w:val="54"/>
        </w:numPr>
        <w:ind w:firstLineChars="0"/>
      </w:pPr>
      <w:r>
        <w:t>McMahon, M., Schipke, M. A., &amp; Li, X. (2018). China’s Monetary Policy Communication: Frameworks, Impact, and Recommendations. International Monetary Fund.</w:t>
      </w:r>
    </w:p>
    <w:p w14:paraId="11C76F4E" w14:textId="10B9D19A" w:rsidR="00895661" w:rsidRPr="00046C7A" w:rsidRDefault="00895661" w:rsidP="00895661">
      <w:pPr>
        <w:pStyle w:val="a9"/>
        <w:numPr>
          <w:ilvl w:val="0"/>
          <w:numId w:val="54"/>
        </w:numPr>
        <w:ind w:firstLineChars="0"/>
        <w:rPr>
          <w:rFonts w:hint="eastAsia"/>
        </w:rPr>
      </w:pPr>
      <w:r>
        <w:rPr>
          <w:rFonts w:hint="eastAsia"/>
        </w:rPr>
        <w:t>Xia, H. (2024). The Impact of Economic Policy Uncertainty on the RMB Exchange Rate. Frontiers in Humanities and Social Sciences, 4(1), 211</w:t>
      </w:r>
      <w:r>
        <w:rPr>
          <w:rFonts w:hint="eastAsia"/>
        </w:rPr>
        <w:t>～</w:t>
      </w:r>
      <w:r>
        <w:rPr>
          <w:rFonts w:hint="eastAsia"/>
        </w:rPr>
        <w:t>227. https://doi.org/10.54691/wrfs4v09</w:t>
      </w:r>
      <w:r>
        <w:rPr>
          <w:rFonts w:hint="eastAsia"/>
        </w:rPr>
        <w:t>.</w:t>
      </w:r>
    </w:p>
    <w:sectPr w:rsidR="00895661" w:rsidRPr="00046C7A" w:rsidSect="00823BB2">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199BC" w14:textId="77777777" w:rsidR="007D0C25" w:rsidRDefault="007D0C25" w:rsidP="00191D7F">
      <w:pPr>
        <w:spacing w:line="240" w:lineRule="auto"/>
        <w:ind w:firstLine="480"/>
      </w:pPr>
      <w:r>
        <w:separator/>
      </w:r>
    </w:p>
  </w:endnote>
  <w:endnote w:type="continuationSeparator" w:id="0">
    <w:p w14:paraId="5ACB468E" w14:textId="77777777" w:rsidR="007D0C25" w:rsidRDefault="007D0C25" w:rsidP="00191D7F">
      <w:pPr>
        <w:spacing w:line="240" w:lineRule="auto"/>
        <w:ind w:firstLine="480"/>
      </w:pPr>
      <w:r>
        <w:continuationSeparator/>
      </w:r>
    </w:p>
  </w:endnote>
  <w:endnote w:type="continuationNotice" w:id="1">
    <w:p w14:paraId="1FC7C238" w14:textId="77777777" w:rsidR="007D0C25" w:rsidRDefault="007D0C25">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3CF30" w14:textId="77777777" w:rsidR="00613E7B" w:rsidRDefault="00613E7B">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849018"/>
      <w:docPartObj>
        <w:docPartGallery w:val="Page Numbers (Bottom of Page)"/>
        <w:docPartUnique/>
      </w:docPartObj>
    </w:sdtPr>
    <w:sdtContent>
      <w:p w14:paraId="438836C8" w14:textId="77777777" w:rsidR="00DC283C" w:rsidRDefault="00DC283C">
        <w:pPr>
          <w:pStyle w:val="af0"/>
          <w:ind w:firstLine="360"/>
          <w:jc w:val="center"/>
        </w:pPr>
        <w:r>
          <w:fldChar w:fldCharType="begin"/>
        </w:r>
        <w:r>
          <w:instrText>PAGE   \* MERGEFORMAT</w:instrText>
        </w:r>
        <w:r>
          <w:fldChar w:fldCharType="separate"/>
        </w:r>
        <w:r>
          <w:rPr>
            <w:lang w:val="zh-CN"/>
          </w:rPr>
          <w:t>2</w:t>
        </w:r>
        <w:r>
          <w:fldChar w:fldCharType="end"/>
        </w:r>
      </w:p>
    </w:sdtContent>
  </w:sdt>
  <w:p w14:paraId="5BAA7C1C" w14:textId="77777777" w:rsidR="00DC283C" w:rsidRDefault="00DC283C">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0274" w14:textId="77777777" w:rsidR="00613E7B" w:rsidRDefault="00613E7B">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30641" w14:textId="77777777" w:rsidR="007D0C25" w:rsidRDefault="007D0C25" w:rsidP="00191D7F">
      <w:pPr>
        <w:spacing w:line="240" w:lineRule="auto"/>
        <w:ind w:firstLine="480"/>
      </w:pPr>
      <w:r>
        <w:separator/>
      </w:r>
    </w:p>
  </w:footnote>
  <w:footnote w:type="continuationSeparator" w:id="0">
    <w:p w14:paraId="0ED0443E" w14:textId="77777777" w:rsidR="007D0C25" w:rsidRDefault="007D0C25" w:rsidP="00191D7F">
      <w:pPr>
        <w:spacing w:line="240" w:lineRule="auto"/>
        <w:ind w:firstLine="480"/>
      </w:pPr>
      <w:r>
        <w:continuationSeparator/>
      </w:r>
    </w:p>
  </w:footnote>
  <w:footnote w:type="continuationNotice" w:id="1">
    <w:p w14:paraId="55FEA340" w14:textId="77777777" w:rsidR="007D0C25" w:rsidRDefault="007D0C25">
      <w:pPr>
        <w:spacing w:line="240" w:lineRule="auto"/>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1F93" w14:textId="77777777" w:rsidR="00613E7B" w:rsidRDefault="00613E7B">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F2ED" w14:textId="77777777" w:rsidR="00613E7B" w:rsidRDefault="00613E7B">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2B1D" w14:textId="77777777" w:rsidR="00613E7B" w:rsidRDefault="00613E7B">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327F"/>
    <w:multiLevelType w:val="hybridMultilevel"/>
    <w:tmpl w:val="E92CDFDE"/>
    <w:lvl w:ilvl="0" w:tplc="C26891A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6364E3"/>
    <w:multiLevelType w:val="multilevel"/>
    <w:tmpl w:val="3820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10F"/>
    <w:multiLevelType w:val="hybridMultilevel"/>
    <w:tmpl w:val="0CBA9772"/>
    <w:lvl w:ilvl="0" w:tplc="11A67B5C">
      <w:start w:val="1"/>
      <w:numFmt w:val="chineseCountingThousand"/>
      <w:lvlText w:val="%1、"/>
      <w:lvlJc w:val="center"/>
      <w:pPr>
        <w:ind w:left="720" w:hanging="720"/>
      </w:pPr>
      <w:rPr>
        <w:rFonts w:hint="eastAsia"/>
      </w:rPr>
    </w:lvl>
    <w:lvl w:ilvl="1" w:tplc="FFFFFFFF">
      <w:start w:val="1"/>
      <w:numFmt w:val="decimal"/>
      <w:lvlText w:val="（%2）"/>
      <w:lvlJc w:val="left"/>
      <w:pPr>
        <w:ind w:left="1160" w:hanging="72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6F16FCE"/>
    <w:multiLevelType w:val="hybridMultilevel"/>
    <w:tmpl w:val="F702B64E"/>
    <w:lvl w:ilvl="0" w:tplc="11A67B5C">
      <w:start w:val="1"/>
      <w:numFmt w:val="chineseCountingThousand"/>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6F51BDF"/>
    <w:multiLevelType w:val="hybridMultilevel"/>
    <w:tmpl w:val="21C4DE62"/>
    <w:lvl w:ilvl="0" w:tplc="F676C6D4">
      <w:start w:val="1"/>
      <w:numFmt w:val="decimal"/>
      <w:suff w:val="nothing"/>
      <w:lvlText w:val="（%1）"/>
      <w:lvlJc w:val="left"/>
      <w:pPr>
        <w:ind w:left="927" w:hanging="360"/>
      </w:pPr>
      <w:rPr>
        <w:rFonts w:hint="default"/>
        <w:lang w:val="en-US"/>
      </w:rPr>
    </w:lvl>
    <w:lvl w:ilvl="1" w:tplc="04090019" w:tentative="1">
      <w:start w:val="1"/>
      <w:numFmt w:val="lowerLetter"/>
      <w:lvlText w:val="%2)"/>
      <w:lvlJc w:val="left"/>
      <w:pPr>
        <w:ind w:left="1927" w:hanging="440"/>
      </w:pPr>
    </w:lvl>
    <w:lvl w:ilvl="2" w:tplc="0409001B" w:tentative="1">
      <w:start w:val="1"/>
      <w:numFmt w:val="lowerRoman"/>
      <w:lvlText w:val="%3."/>
      <w:lvlJc w:val="right"/>
      <w:pPr>
        <w:ind w:left="2367" w:hanging="440"/>
      </w:pPr>
    </w:lvl>
    <w:lvl w:ilvl="3" w:tplc="0409000F" w:tentative="1">
      <w:start w:val="1"/>
      <w:numFmt w:val="decimal"/>
      <w:lvlText w:val="%4."/>
      <w:lvlJc w:val="left"/>
      <w:pPr>
        <w:ind w:left="2807" w:hanging="440"/>
      </w:pPr>
    </w:lvl>
    <w:lvl w:ilvl="4" w:tplc="04090019" w:tentative="1">
      <w:start w:val="1"/>
      <w:numFmt w:val="lowerLetter"/>
      <w:lvlText w:val="%5)"/>
      <w:lvlJc w:val="left"/>
      <w:pPr>
        <w:ind w:left="3247" w:hanging="440"/>
      </w:pPr>
    </w:lvl>
    <w:lvl w:ilvl="5" w:tplc="0409001B" w:tentative="1">
      <w:start w:val="1"/>
      <w:numFmt w:val="lowerRoman"/>
      <w:lvlText w:val="%6."/>
      <w:lvlJc w:val="right"/>
      <w:pPr>
        <w:ind w:left="3687" w:hanging="440"/>
      </w:pPr>
    </w:lvl>
    <w:lvl w:ilvl="6" w:tplc="0409000F" w:tentative="1">
      <w:start w:val="1"/>
      <w:numFmt w:val="decimal"/>
      <w:lvlText w:val="%7."/>
      <w:lvlJc w:val="left"/>
      <w:pPr>
        <w:ind w:left="4127" w:hanging="440"/>
      </w:pPr>
    </w:lvl>
    <w:lvl w:ilvl="7" w:tplc="04090019" w:tentative="1">
      <w:start w:val="1"/>
      <w:numFmt w:val="lowerLetter"/>
      <w:lvlText w:val="%8)"/>
      <w:lvlJc w:val="left"/>
      <w:pPr>
        <w:ind w:left="4567" w:hanging="440"/>
      </w:pPr>
    </w:lvl>
    <w:lvl w:ilvl="8" w:tplc="0409001B" w:tentative="1">
      <w:start w:val="1"/>
      <w:numFmt w:val="lowerRoman"/>
      <w:lvlText w:val="%9."/>
      <w:lvlJc w:val="right"/>
      <w:pPr>
        <w:ind w:left="5007" w:hanging="440"/>
      </w:pPr>
    </w:lvl>
  </w:abstractNum>
  <w:abstractNum w:abstractNumId="5" w15:restartNumberingAfterBreak="0">
    <w:nsid w:val="07DD6756"/>
    <w:multiLevelType w:val="hybridMultilevel"/>
    <w:tmpl w:val="A948A870"/>
    <w:lvl w:ilvl="0" w:tplc="5BF064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9274C2A"/>
    <w:multiLevelType w:val="hybridMultilevel"/>
    <w:tmpl w:val="4ACCD864"/>
    <w:lvl w:ilvl="0" w:tplc="ACD03CE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A502B0"/>
    <w:multiLevelType w:val="hybridMultilevel"/>
    <w:tmpl w:val="ACE457DE"/>
    <w:lvl w:ilvl="0" w:tplc="11A67B5C">
      <w:start w:val="1"/>
      <w:numFmt w:val="chineseCountingThousand"/>
      <w:lvlText w:val="%1、"/>
      <w:lvlJc w:val="center"/>
      <w:pPr>
        <w:ind w:left="1081" w:hanging="440"/>
      </w:pPr>
      <w:rPr>
        <w:rFonts w:hint="eastAsia"/>
      </w:rPr>
    </w:lvl>
    <w:lvl w:ilvl="1" w:tplc="04090019" w:tentative="1">
      <w:start w:val="1"/>
      <w:numFmt w:val="lowerLetter"/>
      <w:lvlText w:val="%2)"/>
      <w:lvlJc w:val="left"/>
      <w:pPr>
        <w:ind w:left="1521" w:hanging="440"/>
      </w:pPr>
    </w:lvl>
    <w:lvl w:ilvl="2" w:tplc="0409001B" w:tentative="1">
      <w:start w:val="1"/>
      <w:numFmt w:val="lowerRoman"/>
      <w:lvlText w:val="%3."/>
      <w:lvlJc w:val="right"/>
      <w:pPr>
        <w:ind w:left="1961" w:hanging="440"/>
      </w:pPr>
    </w:lvl>
    <w:lvl w:ilvl="3" w:tplc="0409000F" w:tentative="1">
      <w:start w:val="1"/>
      <w:numFmt w:val="decimal"/>
      <w:lvlText w:val="%4."/>
      <w:lvlJc w:val="left"/>
      <w:pPr>
        <w:ind w:left="2401" w:hanging="440"/>
      </w:pPr>
    </w:lvl>
    <w:lvl w:ilvl="4" w:tplc="04090019" w:tentative="1">
      <w:start w:val="1"/>
      <w:numFmt w:val="lowerLetter"/>
      <w:lvlText w:val="%5)"/>
      <w:lvlJc w:val="left"/>
      <w:pPr>
        <w:ind w:left="2841" w:hanging="440"/>
      </w:pPr>
    </w:lvl>
    <w:lvl w:ilvl="5" w:tplc="0409001B" w:tentative="1">
      <w:start w:val="1"/>
      <w:numFmt w:val="lowerRoman"/>
      <w:lvlText w:val="%6."/>
      <w:lvlJc w:val="right"/>
      <w:pPr>
        <w:ind w:left="3281" w:hanging="440"/>
      </w:pPr>
    </w:lvl>
    <w:lvl w:ilvl="6" w:tplc="0409000F" w:tentative="1">
      <w:start w:val="1"/>
      <w:numFmt w:val="decimal"/>
      <w:lvlText w:val="%7."/>
      <w:lvlJc w:val="left"/>
      <w:pPr>
        <w:ind w:left="3721" w:hanging="440"/>
      </w:pPr>
    </w:lvl>
    <w:lvl w:ilvl="7" w:tplc="04090019" w:tentative="1">
      <w:start w:val="1"/>
      <w:numFmt w:val="lowerLetter"/>
      <w:lvlText w:val="%8)"/>
      <w:lvlJc w:val="left"/>
      <w:pPr>
        <w:ind w:left="4161" w:hanging="440"/>
      </w:pPr>
    </w:lvl>
    <w:lvl w:ilvl="8" w:tplc="0409001B" w:tentative="1">
      <w:start w:val="1"/>
      <w:numFmt w:val="lowerRoman"/>
      <w:lvlText w:val="%9."/>
      <w:lvlJc w:val="right"/>
      <w:pPr>
        <w:ind w:left="4601" w:hanging="440"/>
      </w:pPr>
    </w:lvl>
  </w:abstractNum>
  <w:abstractNum w:abstractNumId="8" w15:restartNumberingAfterBreak="0">
    <w:nsid w:val="0BBA203A"/>
    <w:multiLevelType w:val="hybridMultilevel"/>
    <w:tmpl w:val="CC4C2CE8"/>
    <w:lvl w:ilvl="0" w:tplc="356A749A">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C640A4C"/>
    <w:multiLevelType w:val="hybridMultilevel"/>
    <w:tmpl w:val="8DB86046"/>
    <w:lvl w:ilvl="0" w:tplc="EC7E1B5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517574C"/>
    <w:multiLevelType w:val="hybridMultilevel"/>
    <w:tmpl w:val="993AD0AA"/>
    <w:lvl w:ilvl="0" w:tplc="36B29184">
      <w:start w:val="1"/>
      <w:numFmt w:val="decimal"/>
      <w:lvlText w:val="[%1]"/>
      <w:lvlJc w:val="left"/>
      <w:pPr>
        <w:ind w:left="724" w:hanging="440"/>
      </w:pPr>
      <w:rPr>
        <w:rFonts w:hint="eastAsia"/>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11" w15:restartNumberingAfterBreak="0">
    <w:nsid w:val="18DA2000"/>
    <w:multiLevelType w:val="hybridMultilevel"/>
    <w:tmpl w:val="907456AE"/>
    <w:lvl w:ilvl="0" w:tplc="C26891A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566AF3"/>
    <w:multiLevelType w:val="hybridMultilevel"/>
    <w:tmpl w:val="689A5046"/>
    <w:lvl w:ilvl="0" w:tplc="C26891A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C675CFA"/>
    <w:multiLevelType w:val="hybridMultilevel"/>
    <w:tmpl w:val="7DE2C5F4"/>
    <w:lvl w:ilvl="0" w:tplc="11A67B5C">
      <w:start w:val="1"/>
      <w:numFmt w:val="chineseCountingThousand"/>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04404B0"/>
    <w:multiLevelType w:val="hybridMultilevel"/>
    <w:tmpl w:val="DE1A32B6"/>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28B7986"/>
    <w:multiLevelType w:val="hybridMultilevel"/>
    <w:tmpl w:val="8152A670"/>
    <w:lvl w:ilvl="0" w:tplc="EC668C2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242B30CA"/>
    <w:multiLevelType w:val="hybridMultilevel"/>
    <w:tmpl w:val="DC1CD69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270C374F"/>
    <w:multiLevelType w:val="hybridMultilevel"/>
    <w:tmpl w:val="00066892"/>
    <w:lvl w:ilvl="0" w:tplc="FBA6D580">
      <w:start w:val="1"/>
      <w:numFmt w:val="decimal"/>
      <w:lvlText w:val="（%1）"/>
      <w:lvlJc w:val="left"/>
      <w:pPr>
        <w:ind w:left="882" w:hanging="440"/>
      </w:pPr>
      <w:rPr>
        <w:rFonts w:hint="default"/>
        <w:lang w:val="en-US"/>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8" w15:restartNumberingAfterBreak="0">
    <w:nsid w:val="28F02B68"/>
    <w:multiLevelType w:val="hybridMultilevel"/>
    <w:tmpl w:val="0B700258"/>
    <w:lvl w:ilvl="0" w:tplc="7EF629C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B00487A"/>
    <w:multiLevelType w:val="hybridMultilevel"/>
    <w:tmpl w:val="548C149C"/>
    <w:lvl w:ilvl="0" w:tplc="11A67B5C">
      <w:start w:val="1"/>
      <w:numFmt w:val="chineseCountingThousand"/>
      <w:lvlText w:val="%1、"/>
      <w:lvlJc w:val="center"/>
      <w:pPr>
        <w:ind w:left="1442" w:hanging="440"/>
      </w:pPr>
      <w:rPr>
        <w:rFonts w:hint="eastAsia"/>
      </w:rPr>
    </w:lvl>
    <w:lvl w:ilvl="1" w:tplc="04090019" w:tentative="1">
      <w:start w:val="1"/>
      <w:numFmt w:val="lowerLetter"/>
      <w:lvlText w:val="%2)"/>
      <w:lvlJc w:val="left"/>
      <w:pPr>
        <w:ind w:left="1882" w:hanging="440"/>
      </w:pPr>
    </w:lvl>
    <w:lvl w:ilvl="2" w:tplc="0409001B" w:tentative="1">
      <w:start w:val="1"/>
      <w:numFmt w:val="lowerRoman"/>
      <w:lvlText w:val="%3."/>
      <w:lvlJc w:val="right"/>
      <w:pPr>
        <w:ind w:left="2322" w:hanging="440"/>
      </w:pPr>
    </w:lvl>
    <w:lvl w:ilvl="3" w:tplc="0409000F" w:tentative="1">
      <w:start w:val="1"/>
      <w:numFmt w:val="decimal"/>
      <w:lvlText w:val="%4."/>
      <w:lvlJc w:val="left"/>
      <w:pPr>
        <w:ind w:left="2762" w:hanging="440"/>
      </w:pPr>
    </w:lvl>
    <w:lvl w:ilvl="4" w:tplc="04090019" w:tentative="1">
      <w:start w:val="1"/>
      <w:numFmt w:val="lowerLetter"/>
      <w:lvlText w:val="%5)"/>
      <w:lvlJc w:val="left"/>
      <w:pPr>
        <w:ind w:left="3202" w:hanging="440"/>
      </w:pPr>
    </w:lvl>
    <w:lvl w:ilvl="5" w:tplc="0409001B" w:tentative="1">
      <w:start w:val="1"/>
      <w:numFmt w:val="lowerRoman"/>
      <w:lvlText w:val="%6."/>
      <w:lvlJc w:val="right"/>
      <w:pPr>
        <w:ind w:left="3642" w:hanging="440"/>
      </w:pPr>
    </w:lvl>
    <w:lvl w:ilvl="6" w:tplc="0409000F" w:tentative="1">
      <w:start w:val="1"/>
      <w:numFmt w:val="decimal"/>
      <w:lvlText w:val="%7."/>
      <w:lvlJc w:val="left"/>
      <w:pPr>
        <w:ind w:left="4082" w:hanging="440"/>
      </w:pPr>
    </w:lvl>
    <w:lvl w:ilvl="7" w:tplc="04090019" w:tentative="1">
      <w:start w:val="1"/>
      <w:numFmt w:val="lowerLetter"/>
      <w:lvlText w:val="%8)"/>
      <w:lvlJc w:val="left"/>
      <w:pPr>
        <w:ind w:left="4522" w:hanging="440"/>
      </w:pPr>
    </w:lvl>
    <w:lvl w:ilvl="8" w:tplc="0409001B" w:tentative="1">
      <w:start w:val="1"/>
      <w:numFmt w:val="lowerRoman"/>
      <w:lvlText w:val="%9."/>
      <w:lvlJc w:val="right"/>
      <w:pPr>
        <w:ind w:left="4962" w:hanging="440"/>
      </w:pPr>
    </w:lvl>
  </w:abstractNum>
  <w:abstractNum w:abstractNumId="20" w15:restartNumberingAfterBreak="0">
    <w:nsid w:val="2B63325E"/>
    <w:multiLevelType w:val="hybridMultilevel"/>
    <w:tmpl w:val="88B87D3E"/>
    <w:lvl w:ilvl="0" w:tplc="7EE48A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BD538D7"/>
    <w:multiLevelType w:val="hybridMultilevel"/>
    <w:tmpl w:val="DA822DD8"/>
    <w:lvl w:ilvl="0" w:tplc="FBA6D580">
      <w:start w:val="1"/>
      <w:numFmt w:val="decimal"/>
      <w:lvlText w:val="（%1）"/>
      <w:lvlJc w:val="left"/>
      <w:pPr>
        <w:ind w:left="1200" w:hanging="72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2D195FF8"/>
    <w:multiLevelType w:val="hybridMultilevel"/>
    <w:tmpl w:val="E9B8F45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2E594DE3"/>
    <w:multiLevelType w:val="hybridMultilevel"/>
    <w:tmpl w:val="1C042F84"/>
    <w:lvl w:ilvl="0" w:tplc="6AC45A3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364E1498"/>
    <w:multiLevelType w:val="hybridMultilevel"/>
    <w:tmpl w:val="6EC05892"/>
    <w:lvl w:ilvl="0" w:tplc="C5608B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74175A7"/>
    <w:multiLevelType w:val="multilevel"/>
    <w:tmpl w:val="CEC04F90"/>
    <w:lvl w:ilvl="0">
      <w:start w:val="1"/>
      <w:numFmt w:val="japaneseCounting"/>
      <w:lvlText w:val="%1、"/>
      <w:lvlJc w:val="left"/>
      <w:pPr>
        <w:ind w:left="1160" w:hanging="720"/>
      </w:pPr>
      <w:rPr>
        <w:rFonts w:ascii="Times New Roman" w:hAnsi="Times New Roman" w:cs="Times New Roman" w:hint="default"/>
      </w:rPr>
    </w:lvl>
    <w:lvl w:ilvl="1">
      <w:start w:val="1"/>
      <w:numFmt w:val="lowerLetter"/>
      <w:lvlText w:val="%2)"/>
      <w:lvlJc w:val="left"/>
      <w:pPr>
        <w:ind w:left="1320" w:hanging="440"/>
      </w:pPr>
      <w:rPr>
        <w:rFonts w:ascii="Times New Roman" w:hAnsi="Times New Roman" w:cs="Times New Roman" w:hint="default"/>
      </w:rPr>
    </w:lvl>
    <w:lvl w:ilvl="2">
      <w:start w:val="1"/>
      <w:numFmt w:val="lowerRoman"/>
      <w:lvlText w:val="%3."/>
      <w:lvlJc w:val="right"/>
      <w:pPr>
        <w:ind w:left="1760" w:hanging="440"/>
      </w:pPr>
      <w:rPr>
        <w:rFonts w:ascii="Times New Roman" w:hAnsi="Times New Roman" w:cs="Times New Roman" w:hint="default"/>
      </w:rPr>
    </w:lvl>
    <w:lvl w:ilvl="3">
      <w:start w:val="1"/>
      <w:numFmt w:val="decimal"/>
      <w:lvlText w:val="%4."/>
      <w:lvlJc w:val="left"/>
      <w:pPr>
        <w:ind w:left="2200" w:hanging="440"/>
      </w:pPr>
      <w:rPr>
        <w:rFonts w:ascii="Times New Roman" w:hAnsi="Times New Roman" w:cs="Times New Roman" w:hint="default"/>
      </w:rPr>
    </w:lvl>
    <w:lvl w:ilvl="4">
      <w:start w:val="1"/>
      <w:numFmt w:val="lowerLetter"/>
      <w:lvlText w:val="%5)"/>
      <w:lvlJc w:val="left"/>
      <w:pPr>
        <w:ind w:left="2640" w:hanging="440"/>
      </w:pPr>
      <w:rPr>
        <w:rFonts w:ascii="Times New Roman" w:hAnsi="Times New Roman" w:cs="Times New Roman" w:hint="default"/>
      </w:rPr>
    </w:lvl>
    <w:lvl w:ilvl="5">
      <w:start w:val="1"/>
      <w:numFmt w:val="lowerRoman"/>
      <w:lvlText w:val="%6."/>
      <w:lvlJc w:val="right"/>
      <w:pPr>
        <w:ind w:left="3080" w:hanging="440"/>
      </w:pPr>
      <w:rPr>
        <w:rFonts w:ascii="Times New Roman" w:hAnsi="Times New Roman" w:cs="Times New Roman" w:hint="default"/>
      </w:rPr>
    </w:lvl>
    <w:lvl w:ilvl="6">
      <w:start w:val="1"/>
      <w:numFmt w:val="decimal"/>
      <w:lvlText w:val="%7."/>
      <w:lvlJc w:val="left"/>
      <w:pPr>
        <w:ind w:left="3520" w:hanging="440"/>
      </w:pPr>
      <w:rPr>
        <w:rFonts w:ascii="Times New Roman" w:hAnsi="Times New Roman" w:cs="Times New Roman" w:hint="default"/>
      </w:rPr>
    </w:lvl>
    <w:lvl w:ilvl="7">
      <w:start w:val="1"/>
      <w:numFmt w:val="lowerLetter"/>
      <w:lvlText w:val="%8)"/>
      <w:lvlJc w:val="left"/>
      <w:pPr>
        <w:ind w:left="3960" w:hanging="440"/>
      </w:pPr>
      <w:rPr>
        <w:rFonts w:ascii="Times New Roman" w:hAnsi="Times New Roman" w:cs="Times New Roman" w:hint="default"/>
      </w:rPr>
    </w:lvl>
    <w:lvl w:ilvl="8">
      <w:start w:val="1"/>
      <w:numFmt w:val="lowerRoman"/>
      <w:lvlText w:val="%9."/>
      <w:lvlJc w:val="right"/>
      <w:pPr>
        <w:ind w:left="4400" w:hanging="440"/>
      </w:pPr>
      <w:rPr>
        <w:rFonts w:ascii="Times New Roman" w:hAnsi="Times New Roman" w:cs="Times New Roman" w:hint="default"/>
      </w:rPr>
    </w:lvl>
  </w:abstractNum>
  <w:abstractNum w:abstractNumId="26" w15:restartNumberingAfterBreak="0">
    <w:nsid w:val="37A8672E"/>
    <w:multiLevelType w:val="hybridMultilevel"/>
    <w:tmpl w:val="6B52989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3D47025B"/>
    <w:multiLevelType w:val="hybridMultilevel"/>
    <w:tmpl w:val="792AE70A"/>
    <w:lvl w:ilvl="0" w:tplc="E2FEEB9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3D731EFE"/>
    <w:multiLevelType w:val="hybridMultilevel"/>
    <w:tmpl w:val="CB34313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41510F18"/>
    <w:multiLevelType w:val="hybridMultilevel"/>
    <w:tmpl w:val="77FEB9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21D1B8A"/>
    <w:multiLevelType w:val="hybridMultilevel"/>
    <w:tmpl w:val="301ABD18"/>
    <w:lvl w:ilvl="0" w:tplc="FBA6D580">
      <w:start w:val="1"/>
      <w:numFmt w:val="decimal"/>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60E3744"/>
    <w:multiLevelType w:val="hybridMultilevel"/>
    <w:tmpl w:val="DADAA106"/>
    <w:lvl w:ilvl="0" w:tplc="16CCFA1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9603D54"/>
    <w:multiLevelType w:val="hybridMultilevel"/>
    <w:tmpl w:val="F2008A8C"/>
    <w:lvl w:ilvl="0" w:tplc="11A67B5C">
      <w:start w:val="1"/>
      <w:numFmt w:val="chineseCountingThousand"/>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B2C1FFD"/>
    <w:multiLevelType w:val="hybridMultilevel"/>
    <w:tmpl w:val="52BC457E"/>
    <w:lvl w:ilvl="0" w:tplc="F3DE47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B497490"/>
    <w:multiLevelType w:val="hybridMultilevel"/>
    <w:tmpl w:val="4D367A16"/>
    <w:lvl w:ilvl="0" w:tplc="D838842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4C99548C"/>
    <w:multiLevelType w:val="hybridMultilevel"/>
    <w:tmpl w:val="87C64674"/>
    <w:lvl w:ilvl="0" w:tplc="356A749A">
      <w:start w:val="1"/>
      <w:numFmt w:val="decimal"/>
      <w:lvlText w:val="%1."/>
      <w:lvlJc w:val="left"/>
      <w:pPr>
        <w:ind w:left="802" w:hanging="360"/>
      </w:pPr>
      <w:rPr>
        <w:rFonts w:hint="default"/>
        <w:b/>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36" w15:restartNumberingAfterBreak="0">
    <w:nsid w:val="4F1E6EF8"/>
    <w:multiLevelType w:val="hybridMultilevel"/>
    <w:tmpl w:val="0BB433D4"/>
    <w:lvl w:ilvl="0" w:tplc="ACD03CE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4FF70F2D"/>
    <w:multiLevelType w:val="hybridMultilevel"/>
    <w:tmpl w:val="C12A06CC"/>
    <w:lvl w:ilvl="0" w:tplc="FBA6D580">
      <w:start w:val="1"/>
      <w:numFmt w:val="decimal"/>
      <w:lvlText w:val="（%1）"/>
      <w:lvlJc w:val="left"/>
      <w:pPr>
        <w:ind w:left="1680" w:hanging="72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53C1595D"/>
    <w:multiLevelType w:val="hybridMultilevel"/>
    <w:tmpl w:val="1EF28DF4"/>
    <w:lvl w:ilvl="0" w:tplc="C26891A0">
      <w:start w:val="1"/>
      <w:numFmt w:val="decimal"/>
      <w:lvlText w:val="（%1）"/>
      <w:lvlJc w:val="left"/>
      <w:pPr>
        <w:ind w:left="720" w:hanging="720"/>
      </w:pPr>
      <w:rPr>
        <w:rFonts w:hint="default"/>
      </w:rPr>
    </w:lvl>
    <w:lvl w:ilvl="1" w:tplc="441C3A74">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D0C6910"/>
    <w:multiLevelType w:val="hybridMultilevel"/>
    <w:tmpl w:val="90B4C874"/>
    <w:lvl w:ilvl="0" w:tplc="11A67B5C">
      <w:start w:val="1"/>
      <w:numFmt w:val="chineseCountingThousand"/>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7416B59"/>
    <w:multiLevelType w:val="hybridMultilevel"/>
    <w:tmpl w:val="EC90FB1E"/>
    <w:lvl w:ilvl="0" w:tplc="04090001">
      <w:start w:val="1"/>
      <w:numFmt w:val="bullet"/>
      <w:lvlText w:val=""/>
      <w:lvlJc w:val="left"/>
      <w:pPr>
        <w:ind w:left="1080" w:hanging="440"/>
      </w:pPr>
      <w:rPr>
        <w:rFonts w:ascii="Wingdings" w:hAnsi="Wingdings" w:hint="default"/>
      </w:rPr>
    </w:lvl>
    <w:lvl w:ilvl="1" w:tplc="04090003" w:tentative="1">
      <w:start w:val="1"/>
      <w:numFmt w:val="bullet"/>
      <w:lvlText w:val=""/>
      <w:lvlJc w:val="left"/>
      <w:pPr>
        <w:ind w:left="1520" w:hanging="440"/>
      </w:pPr>
      <w:rPr>
        <w:rFonts w:ascii="Wingdings" w:hAnsi="Wingdings" w:hint="default"/>
      </w:rPr>
    </w:lvl>
    <w:lvl w:ilvl="2" w:tplc="04090005" w:tentative="1">
      <w:start w:val="1"/>
      <w:numFmt w:val="bullet"/>
      <w:lvlText w:val=""/>
      <w:lvlJc w:val="left"/>
      <w:pPr>
        <w:ind w:left="1960" w:hanging="440"/>
      </w:pPr>
      <w:rPr>
        <w:rFonts w:ascii="Wingdings" w:hAnsi="Wingdings" w:hint="default"/>
      </w:rPr>
    </w:lvl>
    <w:lvl w:ilvl="3" w:tplc="04090001" w:tentative="1">
      <w:start w:val="1"/>
      <w:numFmt w:val="bullet"/>
      <w:lvlText w:val=""/>
      <w:lvlJc w:val="left"/>
      <w:pPr>
        <w:ind w:left="2400" w:hanging="440"/>
      </w:pPr>
      <w:rPr>
        <w:rFonts w:ascii="Wingdings" w:hAnsi="Wingdings" w:hint="default"/>
      </w:rPr>
    </w:lvl>
    <w:lvl w:ilvl="4" w:tplc="04090003" w:tentative="1">
      <w:start w:val="1"/>
      <w:numFmt w:val="bullet"/>
      <w:lvlText w:val=""/>
      <w:lvlJc w:val="left"/>
      <w:pPr>
        <w:ind w:left="2840" w:hanging="440"/>
      </w:pPr>
      <w:rPr>
        <w:rFonts w:ascii="Wingdings" w:hAnsi="Wingdings" w:hint="default"/>
      </w:rPr>
    </w:lvl>
    <w:lvl w:ilvl="5" w:tplc="04090005" w:tentative="1">
      <w:start w:val="1"/>
      <w:numFmt w:val="bullet"/>
      <w:lvlText w:val=""/>
      <w:lvlJc w:val="left"/>
      <w:pPr>
        <w:ind w:left="3280" w:hanging="440"/>
      </w:pPr>
      <w:rPr>
        <w:rFonts w:ascii="Wingdings" w:hAnsi="Wingdings" w:hint="default"/>
      </w:rPr>
    </w:lvl>
    <w:lvl w:ilvl="6" w:tplc="04090001" w:tentative="1">
      <w:start w:val="1"/>
      <w:numFmt w:val="bullet"/>
      <w:lvlText w:val=""/>
      <w:lvlJc w:val="left"/>
      <w:pPr>
        <w:ind w:left="3720" w:hanging="440"/>
      </w:pPr>
      <w:rPr>
        <w:rFonts w:ascii="Wingdings" w:hAnsi="Wingdings" w:hint="default"/>
      </w:rPr>
    </w:lvl>
    <w:lvl w:ilvl="7" w:tplc="04090003" w:tentative="1">
      <w:start w:val="1"/>
      <w:numFmt w:val="bullet"/>
      <w:lvlText w:val=""/>
      <w:lvlJc w:val="left"/>
      <w:pPr>
        <w:ind w:left="4160" w:hanging="440"/>
      </w:pPr>
      <w:rPr>
        <w:rFonts w:ascii="Wingdings" w:hAnsi="Wingdings" w:hint="default"/>
      </w:rPr>
    </w:lvl>
    <w:lvl w:ilvl="8" w:tplc="04090005" w:tentative="1">
      <w:start w:val="1"/>
      <w:numFmt w:val="bullet"/>
      <w:lvlText w:val=""/>
      <w:lvlJc w:val="left"/>
      <w:pPr>
        <w:ind w:left="4600" w:hanging="440"/>
      </w:pPr>
      <w:rPr>
        <w:rFonts w:ascii="Wingdings" w:hAnsi="Wingdings" w:hint="default"/>
      </w:rPr>
    </w:lvl>
  </w:abstractNum>
  <w:abstractNum w:abstractNumId="41" w15:restartNumberingAfterBreak="0">
    <w:nsid w:val="693A187B"/>
    <w:multiLevelType w:val="multilevel"/>
    <w:tmpl w:val="956A9FA8"/>
    <w:lvl w:ilvl="0">
      <w:start w:val="6"/>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951063B"/>
    <w:multiLevelType w:val="hybridMultilevel"/>
    <w:tmpl w:val="D0A01BDA"/>
    <w:lvl w:ilvl="0" w:tplc="ACCC85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9965A49"/>
    <w:multiLevelType w:val="hybridMultilevel"/>
    <w:tmpl w:val="3E8AAEE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70983CF2"/>
    <w:multiLevelType w:val="hybridMultilevel"/>
    <w:tmpl w:val="E0AA892C"/>
    <w:lvl w:ilvl="0" w:tplc="016CFBE8">
      <w:start w:val="1"/>
      <w:numFmt w:val="chineseCountingThousand"/>
      <w:pStyle w:val="1"/>
      <w:lvlText w:val="%1、"/>
      <w:lvlJc w:val="center"/>
      <w:pPr>
        <w:ind w:left="440" w:hanging="440"/>
      </w:pPr>
      <w:rPr>
        <w:rFonts w:ascii="黑体" w:eastAsia="黑体" w:hAnsi="黑体" w:hint="eastAsia"/>
        <w:b/>
        <w:bCs/>
        <w:color w:val="auto"/>
        <w:sz w:val="28"/>
        <w:szCs w:val="28"/>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3695B98"/>
    <w:multiLevelType w:val="multilevel"/>
    <w:tmpl w:val="1FF0BFE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6" w15:restartNumberingAfterBreak="0">
    <w:nsid w:val="74E67A4C"/>
    <w:multiLevelType w:val="hybridMultilevel"/>
    <w:tmpl w:val="91AE6C06"/>
    <w:lvl w:ilvl="0" w:tplc="3F0C0D7C">
      <w:start w:val="1"/>
      <w:numFmt w:val="japaneseCounting"/>
      <w:lvlText w:val="%1、"/>
      <w:lvlJc w:val="left"/>
      <w:pPr>
        <w:ind w:left="1420" w:hanging="57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78534CF4"/>
    <w:multiLevelType w:val="hybridMultilevel"/>
    <w:tmpl w:val="CDA02758"/>
    <w:lvl w:ilvl="0" w:tplc="D43EDC6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8" w15:restartNumberingAfterBreak="0">
    <w:nsid w:val="790B633B"/>
    <w:multiLevelType w:val="hybridMultilevel"/>
    <w:tmpl w:val="166A33FA"/>
    <w:lvl w:ilvl="0" w:tplc="356A749A">
      <w:start w:val="1"/>
      <w:numFmt w:val="decimal"/>
      <w:lvlText w:val="%1."/>
      <w:lvlJc w:val="left"/>
      <w:pPr>
        <w:ind w:left="802" w:hanging="360"/>
      </w:pPr>
      <w:rPr>
        <w:rFonts w:hint="default"/>
        <w:b/>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49" w15:restartNumberingAfterBreak="0">
    <w:nsid w:val="7B4738A0"/>
    <w:multiLevelType w:val="hybridMultilevel"/>
    <w:tmpl w:val="2ED29E96"/>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50" w15:restartNumberingAfterBreak="0">
    <w:nsid w:val="7B912E70"/>
    <w:multiLevelType w:val="hybridMultilevel"/>
    <w:tmpl w:val="AEFA28FE"/>
    <w:lvl w:ilvl="0" w:tplc="0409000F">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1" w15:restartNumberingAfterBreak="0">
    <w:nsid w:val="7D3477E0"/>
    <w:multiLevelType w:val="hybridMultilevel"/>
    <w:tmpl w:val="995A81D6"/>
    <w:lvl w:ilvl="0" w:tplc="CA884544">
      <w:start w:val="1"/>
      <w:numFmt w:val="decimal"/>
      <w:lvlText w:val="（%1）"/>
      <w:lvlJc w:val="left"/>
      <w:pPr>
        <w:ind w:left="862" w:hanging="72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52" w15:restartNumberingAfterBreak="0">
    <w:nsid w:val="7F506F79"/>
    <w:multiLevelType w:val="hybridMultilevel"/>
    <w:tmpl w:val="63D2E6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7F5248E3"/>
    <w:multiLevelType w:val="hybridMultilevel"/>
    <w:tmpl w:val="F532051E"/>
    <w:lvl w:ilvl="0" w:tplc="11A67B5C">
      <w:start w:val="1"/>
      <w:numFmt w:val="chineseCountingThousand"/>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54188543">
    <w:abstractNumId w:val="46"/>
  </w:num>
  <w:num w:numId="2" w16cid:durableId="596209266">
    <w:abstractNumId w:val="24"/>
  </w:num>
  <w:num w:numId="3" w16cid:durableId="1145243339">
    <w:abstractNumId w:val="42"/>
  </w:num>
  <w:num w:numId="4" w16cid:durableId="1290547651">
    <w:abstractNumId w:val="29"/>
  </w:num>
  <w:num w:numId="5" w16cid:durableId="1442147848">
    <w:abstractNumId w:val="52"/>
  </w:num>
  <w:num w:numId="6" w16cid:durableId="1990936819">
    <w:abstractNumId w:val="36"/>
  </w:num>
  <w:num w:numId="7" w16cid:durableId="2090225851">
    <w:abstractNumId w:val="51"/>
  </w:num>
  <w:num w:numId="8" w16cid:durableId="18296632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14290734">
    <w:abstractNumId w:val="4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7266591">
    <w:abstractNumId w:val="41"/>
  </w:num>
  <w:num w:numId="11" w16cid:durableId="973438873">
    <w:abstractNumId w:val="44"/>
  </w:num>
  <w:num w:numId="12" w16cid:durableId="1197809238">
    <w:abstractNumId w:val="31"/>
  </w:num>
  <w:num w:numId="13" w16cid:durableId="2140563139">
    <w:abstractNumId w:val="13"/>
  </w:num>
  <w:num w:numId="14" w16cid:durableId="198052013">
    <w:abstractNumId w:val="53"/>
  </w:num>
  <w:num w:numId="15" w16cid:durableId="106851243">
    <w:abstractNumId w:val="39"/>
  </w:num>
  <w:num w:numId="16" w16cid:durableId="447236133">
    <w:abstractNumId w:val="3"/>
  </w:num>
  <w:num w:numId="17" w16cid:durableId="1009868073">
    <w:abstractNumId w:val="32"/>
  </w:num>
  <w:num w:numId="18" w16cid:durableId="2017033143">
    <w:abstractNumId w:val="40"/>
  </w:num>
  <w:num w:numId="19" w16cid:durableId="46882288">
    <w:abstractNumId w:val="7"/>
  </w:num>
  <w:num w:numId="20" w16cid:durableId="604193819">
    <w:abstractNumId w:val="27"/>
  </w:num>
  <w:num w:numId="21" w16cid:durableId="314578470">
    <w:abstractNumId w:val="38"/>
  </w:num>
  <w:num w:numId="22" w16cid:durableId="1241476323">
    <w:abstractNumId w:val="10"/>
  </w:num>
  <w:num w:numId="23" w16cid:durableId="1175807041">
    <w:abstractNumId w:val="34"/>
  </w:num>
  <w:num w:numId="24" w16cid:durableId="1442844042">
    <w:abstractNumId w:val="6"/>
  </w:num>
  <w:num w:numId="25" w16cid:durableId="802040338">
    <w:abstractNumId w:val="18"/>
  </w:num>
  <w:num w:numId="26" w16cid:durableId="327446224">
    <w:abstractNumId w:val="4"/>
  </w:num>
  <w:num w:numId="27" w16cid:durableId="582494300">
    <w:abstractNumId w:val="49"/>
  </w:num>
  <w:num w:numId="28" w16cid:durableId="651256742">
    <w:abstractNumId w:val="19"/>
  </w:num>
  <w:num w:numId="29" w16cid:durableId="1795098791">
    <w:abstractNumId w:val="21"/>
  </w:num>
  <w:num w:numId="30" w16cid:durableId="452023046">
    <w:abstractNumId w:val="37"/>
  </w:num>
  <w:num w:numId="31" w16cid:durableId="741606010">
    <w:abstractNumId w:val="12"/>
  </w:num>
  <w:num w:numId="32" w16cid:durableId="1921600691">
    <w:abstractNumId w:val="11"/>
  </w:num>
  <w:num w:numId="33" w16cid:durableId="1088039932">
    <w:abstractNumId w:val="28"/>
  </w:num>
  <w:num w:numId="34" w16cid:durableId="2132436489">
    <w:abstractNumId w:val="14"/>
  </w:num>
  <w:num w:numId="35" w16cid:durableId="790053848">
    <w:abstractNumId w:val="0"/>
  </w:num>
  <w:num w:numId="36" w16cid:durableId="1498883831">
    <w:abstractNumId w:val="8"/>
  </w:num>
  <w:num w:numId="37" w16cid:durableId="462503411">
    <w:abstractNumId w:val="35"/>
  </w:num>
  <w:num w:numId="38" w16cid:durableId="1096095220">
    <w:abstractNumId w:val="48"/>
  </w:num>
  <w:num w:numId="39" w16cid:durableId="216431081">
    <w:abstractNumId w:val="17"/>
  </w:num>
  <w:num w:numId="40" w16cid:durableId="1738892082">
    <w:abstractNumId w:val="30"/>
  </w:num>
  <w:num w:numId="41" w16cid:durableId="1314143299">
    <w:abstractNumId w:val="2"/>
  </w:num>
  <w:num w:numId="42" w16cid:durableId="592200709">
    <w:abstractNumId w:val="20"/>
  </w:num>
  <w:num w:numId="43" w16cid:durableId="1952277301">
    <w:abstractNumId w:val="5"/>
  </w:num>
  <w:num w:numId="44" w16cid:durableId="1616014552">
    <w:abstractNumId w:val="33"/>
  </w:num>
  <w:num w:numId="45" w16cid:durableId="863444849">
    <w:abstractNumId w:val="15"/>
  </w:num>
  <w:num w:numId="46" w16cid:durableId="1957562826">
    <w:abstractNumId w:val="23"/>
  </w:num>
  <w:num w:numId="47" w16cid:durableId="1237058366">
    <w:abstractNumId w:val="1"/>
  </w:num>
  <w:num w:numId="48" w16cid:durableId="1424883890">
    <w:abstractNumId w:val="47"/>
  </w:num>
  <w:num w:numId="49" w16cid:durableId="1745180164">
    <w:abstractNumId w:val="22"/>
  </w:num>
  <w:num w:numId="50" w16cid:durableId="406071325">
    <w:abstractNumId w:val="16"/>
  </w:num>
  <w:num w:numId="51" w16cid:durableId="1581252772">
    <w:abstractNumId w:val="50"/>
  </w:num>
  <w:num w:numId="52" w16cid:durableId="1801066259">
    <w:abstractNumId w:val="43"/>
  </w:num>
  <w:num w:numId="53" w16cid:durableId="836383094">
    <w:abstractNumId w:val="26"/>
  </w:num>
  <w:num w:numId="54" w16cid:durableId="3860352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5E0"/>
    <w:rsid w:val="000003C3"/>
    <w:rsid w:val="000006E1"/>
    <w:rsid w:val="00000DA6"/>
    <w:rsid w:val="00001169"/>
    <w:rsid w:val="00001BB5"/>
    <w:rsid w:val="000025A3"/>
    <w:rsid w:val="00002FCA"/>
    <w:rsid w:val="00005DCC"/>
    <w:rsid w:val="0000635A"/>
    <w:rsid w:val="00010876"/>
    <w:rsid w:val="00011CA3"/>
    <w:rsid w:val="00012390"/>
    <w:rsid w:val="00012469"/>
    <w:rsid w:val="00014D3B"/>
    <w:rsid w:val="00016339"/>
    <w:rsid w:val="000205BA"/>
    <w:rsid w:val="0002081E"/>
    <w:rsid w:val="00021685"/>
    <w:rsid w:val="00021689"/>
    <w:rsid w:val="00021B06"/>
    <w:rsid w:val="00021DC6"/>
    <w:rsid w:val="00023CC6"/>
    <w:rsid w:val="00024179"/>
    <w:rsid w:val="00025BF1"/>
    <w:rsid w:val="00026F03"/>
    <w:rsid w:val="00027FA1"/>
    <w:rsid w:val="000300E1"/>
    <w:rsid w:val="000302CD"/>
    <w:rsid w:val="0003039A"/>
    <w:rsid w:val="00030776"/>
    <w:rsid w:val="00030E2E"/>
    <w:rsid w:val="000323CE"/>
    <w:rsid w:val="00032451"/>
    <w:rsid w:val="00032D07"/>
    <w:rsid w:val="00033CF9"/>
    <w:rsid w:val="00034B14"/>
    <w:rsid w:val="00036BBB"/>
    <w:rsid w:val="00036FB8"/>
    <w:rsid w:val="00037914"/>
    <w:rsid w:val="00037959"/>
    <w:rsid w:val="0003798B"/>
    <w:rsid w:val="000422B3"/>
    <w:rsid w:val="00042FE0"/>
    <w:rsid w:val="000435E3"/>
    <w:rsid w:val="00043797"/>
    <w:rsid w:val="00043DCC"/>
    <w:rsid w:val="000448EA"/>
    <w:rsid w:val="00046866"/>
    <w:rsid w:val="00046C7A"/>
    <w:rsid w:val="00046CFB"/>
    <w:rsid w:val="00051128"/>
    <w:rsid w:val="000523DB"/>
    <w:rsid w:val="00052D7C"/>
    <w:rsid w:val="000533A2"/>
    <w:rsid w:val="00054075"/>
    <w:rsid w:val="00054ABC"/>
    <w:rsid w:val="00054E75"/>
    <w:rsid w:val="0005593A"/>
    <w:rsid w:val="00056B31"/>
    <w:rsid w:val="00060D6B"/>
    <w:rsid w:val="00060FA2"/>
    <w:rsid w:val="00061FD7"/>
    <w:rsid w:val="00064354"/>
    <w:rsid w:val="00065B35"/>
    <w:rsid w:val="000676D7"/>
    <w:rsid w:val="000700B5"/>
    <w:rsid w:val="00070F20"/>
    <w:rsid w:val="00071366"/>
    <w:rsid w:val="00072DDA"/>
    <w:rsid w:val="00074049"/>
    <w:rsid w:val="000741CF"/>
    <w:rsid w:val="0007483E"/>
    <w:rsid w:val="00074B68"/>
    <w:rsid w:val="00074BD4"/>
    <w:rsid w:val="00075F8A"/>
    <w:rsid w:val="00076BA6"/>
    <w:rsid w:val="00077802"/>
    <w:rsid w:val="0008062F"/>
    <w:rsid w:val="000806D9"/>
    <w:rsid w:val="00081D7C"/>
    <w:rsid w:val="000828AE"/>
    <w:rsid w:val="00082CD7"/>
    <w:rsid w:val="00084CF1"/>
    <w:rsid w:val="00085607"/>
    <w:rsid w:val="00085AE9"/>
    <w:rsid w:val="0008676B"/>
    <w:rsid w:val="00087327"/>
    <w:rsid w:val="000873A7"/>
    <w:rsid w:val="00087839"/>
    <w:rsid w:val="0009075C"/>
    <w:rsid w:val="00090987"/>
    <w:rsid w:val="000910EE"/>
    <w:rsid w:val="0009146C"/>
    <w:rsid w:val="00092E06"/>
    <w:rsid w:val="000934F0"/>
    <w:rsid w:val="00094351"/>
    <w:rsid w:val="00094400"/>
    <w:rsid w:val="00095FAC"/>
    <w:rsid w:val="00096CAE"/>
    <w:rsid w:val="00097E36"/>
    <w:rsid w:val="000A0227"/>
    <w:rsid w:val="000A03E1"/>
    <w:rsid w:val="000A048B"/>
    <w:rsid w:val="000A07AB"/>
    <w:rsid w:val="000A1041"/>
    <w:rsid w:val="000A1217"/>
    <w:rsid w:val="000A17D0"/>
    <w:rsid w:val="000A1EBD"/>
    <w:rsid w:val="000A4327"/>
    <w:rsid w:val="000A581D"/>
    <w:rsid w:val="000A5B22"/>
    <w:rsid w:val="000A5EE8"/>
    <w:rsid w:val="000A6A4C"/>
    <w:rsid w:val="000A6C21"/>
    <w:rsid w:val="000A7711"/>
    <w:rsid w:val="000B0032"/>
    <w:rsid w:val="000B036C"/>
    <w:rsid w:val="000B0543"/>
    <w:rsid w:val="000B2131"/>
    <w:rsid w:val="000B2864"/>
    <w:rsid w:val="000B3736"/>
    <w:rsid w:val="000B5BE5"/>
    <w:rsid w:val="000B5C28"/>
    <w:rsid w:val="000B6518"/>
    <w:rsid w:val="000B68CE"/>
    <w:rsid w:val="000C0C15"/>
    <w:rsid w:val="000C1B4D"/>
    <w:rsid w:val="000C2176"/>
    <w:rsid w:val="000C2888"/>
    <w:rsid w:val="000C2D0C"/>
    <w:rsid w:val="000C341A"/>
    <w:rsid w:val="000C5CA4"/>
    <w:rsid w:val="000C7411"/>
    <w:rsid w:val="000D0638"/>
    <w:rsid w:val="000D086D"/>
    <w:rsid w:val="000D0CCE"/>
    <w:rsid w:val="000D1053"/>
    <w:rsid w:val="000D14A7"/>
    <w:rsid w:val="000D17B7"/>
    <w:rsid w:val="000D1DE9"/>
    <w:rsid w:val="000D24E9"/>
    <w:rsid w:val="000D259E"/>
    <w:rsid w:val="000D274C"/>
    <w:rsid w:val="000D2C5A"/>
    <w:rsid w:val="000D321B"/>
    <w:rsid w:val="000D3DB0"/>
    <w:rsid w:val="000D5100"/>
    <w:rsid w:val="000D5E98"/>
    <w:rsid w:val="000D7084"/>
    <w:rsid w:val="000D75C3"/>
    <w:rsid w:val="000E04B6"/>
    <w:rsid w:val="000E07C6"/>
    <w:rsid w:val="000E0CC2"/>
    <w:rsid w:val="000E0E88"/>
    <w:rsid w:val="000E1688"/>
    <w:rsid w:val="000E1D1D"/>
    <w:rsid w:val="000E265A"/>
    <w:rsid w:val="000E29ED"/>
    <w:rsid w:val="000E37B8"/>
    <w:rsid w:val="000E7CE5"/>
    <w:rsid w:val="000F03DA"/>
    <w:rsid w:val="000F0A52"/>
    <w:rsid w:val="000F12E7"/>
    <w:rsid w:val="000F1D68"/>
    <w:rsid w:val="000F2EE8"/>
    <w:rsid w:val="000F5DB7"/>
    <w:rsid w:val="000F6949"/>
    <w:rsid w:val="000F74C9"/>
    <w:rsid w:val="001001FE"/>
    <w:rsid w:val="00100FAC"/>
    <w:rsid w:val="0010149A"/>
    <w:rsid w:val="00102B27"/>
    <w:rsid w:val="001044FF"/>
    <w:rsid w:val="00106138"/>
    <w:rsid w:val="001061A1"/>
    <w:rsid w:val="001061B3"/>
    <w:rsid w:val="00106CE9"/>
    <w:rsid w:val="00106DE7"/>
    <w:rsid w:val="00107E90"/>
    <w:rsid w:val="001107B3"/>
    <w:rsid w:val="0011127D"/>
    <w:rsid w:val="00111FE6"/>
    <w:rsid w:val="00112275"/>
    <w:rsid w:val="00112FC7"/>
    <w:rsid w:val="00113301"/>
    <w:rsid w:val="00113BAA"/>
    <w:rsid w:val="00114227"/>
    <w:rsid w:val="001145B1"/>
    <w:rsid w:val="0011590D"/>
    <w:rsid w:val="0011700D"/>
    <w:rsid w:val="00117504"/>
    <w:rsid w:val="001176C5"/>
    <w:rsid w:val="00120B56"/>
    <w:rsid w:val="00121FA0"/>
    <w:rsid w:val="00122777"/>
    <w:rsid w:val="00123032"/>
    <w:rsid w:val="001239A0"/>
    <w:rsid w:val="00123DBC"/>
    <w:rsid w:val="001254D8"/>
    <w:rsid w:val="00125FC4"/>
    <w:rsid w:val="00126769"/>
    <w:rsid w:val="00127C92"/>
    <w:rsid w:val="001303CB"/>
    <w:rsid w:val="00131760"/>
    <w:rsid w:val="00131795"/>
    <w:rsid w:val="0013215F"/>
    <w:rsid w:val="001329D3"/>
    <w:rsid w:val="00132AD0"/>
    <w:rsid w:val="00133410"/>
    <w:rsid w:val="001335FE"/>
    <w:rsid w:val="00134822"/>
    <w:rsid w:val="00136467"/>
    <w:rsid w:val="001365E7"/>
    <w:rsid w:val="00136BD0"/>
    <w:rsid w:val="00136CA8"/>
    <w:rsid w:val="001379FF"/>
    <w:rsid w:val="0014062B"/>
    <w:rsid w:val="001411F7"/>
    <w:rsid w:val="001413A0"/>
    <w:rsid w:val="00141F4A"/>
    <w:rsid w:val="00142642"/>
    <w:rsid w:val="001426EC"/>
    <w:rsid w:val="0014546F"/>
    <w:rsid w:val="00146101"/>
    <w:rsid w:val="001469DD"/>
    <w:rsid w:val="0014722E"/>
    <w:rsid w:val="00147703"/>
    <w:rsid w:val="00147B3A"/>
    <w:rsid w:val="00151005"/>
    <w:rsid w:val="00151B3D"/>
    <w:rsid w:val="00152443"/>
    <w:rsid w:val="00152887"/>
    <w:rsid w:val="00153DE2"/>
    <w:rsid w:val="0015418E"/>
    <w:rsid w:val="00155189"/>
    <w:rsid w:val="00155A9D"/>
    <w:rsid w:val="001561F4"/>
    <w:rsid w:val="0016089B"/>
    <w:rsid w:val="00163685"/>
    <w:rsid w:val="00163C62"/>
    <w:rsid w:val="00163C6C"/>
    <w:rsid w:val="00164560"/>
    <w:rsid w:val="0016498C"/>
    <w:rsid w:val="00164B0A"/>
    <w:rsid w:val="00167A09"/>
    <w:rsid w:val="001709B7"/>
    <w:rsid w:val="00170B25"/>
    <w:rsid w:val="00171FD3"/>
    <w:rsid w:val="00172BE6"/>
    <w:rsid w:val="00172EC3"/>
    <w:rsid w:val="00173792"/>
    <w:rsid w:val="001744C9"/>
    <w:rsid w:val="00174D15"/>
    <w:rsid w:val="00174DF6"/>
    <w:rsid w:val="001750E9"/>
    <w:rsid w:val="0017720C"/>
    <w:rsid w:val="0017780D"/>
    <w:rsid w:val="0018006E"/>
    <w:rsid w:val="0018048C"/>
    <w:rsid w:val="00180736"/>
    <w:rsid w:val="0018077B"/>
    <w:rsid w:val="00180BC2"/>
    <w:rsid w:val="00181F1B"/>
    <w:rsid w:val="00184305"/>
    <w:rsid w:val="00184348"/>
    <w:rsid w:val="00184C4C"/>
    <w:rsid w:val="00184F76"/>
    <w:rsid w:val="00186317"/>
    <w:rsid w:val="00187404"/>
    <w:rsid w:val="00190543"/>
    <w:rsid w:val="0019104A"/>
    <w:rsid w:val="00191756"/>
    <w:rsid w:val="00191977"/>
    <w:rsid w:val="00191D7F"/>
    <w:rsid w:val="0019211F"/>
    <w:rsid w:val="00192E5C"/>
    <w:rsid w:val="0019305E"/>
    <w:rsid w:val="00193410"/>
    <w:rsid w:val="0019520E"/>
    <w:rsid w:val="001959D4"/>
    <w:rsid w:val="001960B9"/>
    <w:rsid w:val="00196263"/>
    <w:rsid w:val="0019690A"/>
    <w:rsid w:val="00196F34"/>
    <w:rsid w:val="0019774E"/>
    <w:rsid w:val="00197BB7"/>
    <w:rsid w:val="001A13F7"/>
    <w:rsid w:val="001A1628"/>
    <w:rsid w:val="001A1AAD"/>
    <w:rsid w:val="001A2651"/>
    <w:rsid w:val="001A33E7"/>
    <w:rsid w:val="001A38FD"/>
    <w:rsid w:val="001A3E9F"/>
    <w:rsid w:val="001A436A"/>
    <w:rsid w:val="001A5876"/>
    <w:rsid w:val="001A682E"/>
    <w:rsid w:val="001A710F"/>
    <w:rsid w:val="001A7A2D"/>
    <w:rsid w:val="001B0486"/>
    <w:rsid w:val="001B25CC"/>
    <w:rsid w:val="001B4111"/>
    <w:rsid w:val="001B4454"/>
    <w:rsid w:val="001B46AF"/>
    <w:rsid w:val="001B4AFF"/>
    <w:rsid w:val="001B4B10"/>
    <w:rsid w:val="001B7814"/>
    <w:rsid w:val="001B795C"/>
    <w:rsid w:val="001B7C36"/>
    <w:rsid w:val="001C01EA"/>
    <w:rsid w:val="001C07B1"/>
    <w:rsid w:val="001C1D89"/>
    <w:rsid w:val="001C3EE8"/>
    <w:rsid w:val="001C5747"/>
    <w:rsid w:val="001C69B5"/>
    <w:rsid w:val="001C7901"/>
    <w:rsid w:val="001C7FD9"/>
    <w:rsid w:val="001D02B4"/>
    <w:rsid w:val="001D0618"/>
    <w:rsid w:val="001D1209"/>
    <w:rsid w:val="001D2494"/>
    <w:rsid w:val="001D268C"/>
    <w:rsid w:val="001D3A10"/>
    <w:rsid w:val="001D622B"/>
    <w:rsid w:val="001D6320"/>
    <w:rsid w:val="001D6455"/>
    <w:rsid w:val="001D68D9"/>
    <w:rsid w:val="001D6923"/>
    <w:rsid w:val="001D6D1F"/>
    <w:rsid w:val="001D7C70"/>
    <w:rsid w:val="001E03C8"/>
    <w:rsid w:val="001E1AF5"/>
    <w:rsid w:val="001E2C12"/>
    <w:rsid w:val="001E328B"/>
    <w:rsid w:val="001E433B"/>
    <w:rsid w:val="001E4FAB"/>
    <w:rsid w:val="001E5670"/>
    <w:rsid w:val="001E5A39"/>
    <w:rsid w:val="001E7C92"/>
    <w:rsid w:val="001F02E0"/>
    <w:rsid w:val="001F0A7E"/>
    <w:rsid w:val="001F1276"/>
    <w:rsid w:val="001F1439"/>
    <w:rsid w:val="001F2A30"/>
    <w:rsid w:val="001F2D96"/>
    <w:rsid w:val="001F3228"/>
    <w:rsid w:val="001F3E55"/>
    <w:rsid w:val="001F45BB"/>
    <w:rsid w:val="001F5419"/>
    <w:rsid w:val="001F55A0"/>
    <w:rsid w:val="001F6CB7"/>
    <w:rsid w:val="001F6CD0"/>
    <w:rsid w:val="001F750A"/>
    <w:rsid w:val="00200C3C"/>
    <w:rsid w:val="00203893"/>
    <w:rsid w:val="002043CB"/>
    <w:rsid w:val="00205549"/>
    <w:rsid w:val="00205CFD"/>
    <w:rsid w:val="00206019"/>
    <w:rsid w:val="002115A1"/>
    <w:rsid w:val="00211F68"/>
    <w:rsid w:val="00212397"/>
    <w:rsid w:val="0021377C"/>
    <w:rsid w:val="00215CF5"/>
    <w:rsid w:val="00220C4D"/>
    <w:rsid w:val="00221957"/>
    <w:rsid w:val="00221959"/>
    <w:rsid w:val="00221A28"/>
    <w:rsid w:val="00222E9C"/>
    <w:rsid w:val="002234EE"/>
    <w:rsid w:val="00223858"/>
    <w:rsid w:val="00223E67"/>
    <w:rsid w:val="00225B9F"/>
    <w:rsid w:val="00225F62"/>
    <w:rsid w:val="002275C8"/>
    <w:rsid w:val="0022780A"/>
    <w:rsid w:val="00227B2F"/>
    <w:rsid w:val="00230E9E"/>
    <w:rsid w:val="00231416"/>
    <w:rsid w:val="00231F18"/>
    <w:rsid w:val="0023227E"/>
    <w:rsid w:val="00232E9B"/>
    <w:rsid w:val="00234403"/>
    <w:rsid w:val="00234AE4"/>
    <w:rsid w:val="00235CC1"/>
    <w:rsid w:val="00237232"/>
    <w:rsid w:val="00237DD6"/>
    <w:rsid w:val="002415EB"/>
    <w:rsid w:val="00241A3B"/>
    <w:rsid w:val="00241A7B"/>
    <w:rsid w:val="00241F02"/>
    <w:rsid w:val="002426E0"/>
    <w:rsid w:val="00243376"/>
    <w:rsid w:val="002449B4"/>
    <w:rsid w:val="00244D07"/>
    <w:rsid w:val="00244E32"/>
    <w:rsid w:val="002450B0"/>
    <w:rsid w:val="00247028"/>
    <w:rsid w:val="00247546"/>
    <w:rsid w:val="00251BF5"/>
    <w:rsid w:val="002540A2"/>
    <w:rsid w:val="0025493F"/>
    <w:rsid w:val="002559E7"/>
    <w:rsid w:val="002563E9"/>
    <w:rsid w:val="00256F69"/>
    <w:rsid w:val="0026355D"/>
    <w:rsid w:val="00263684"/>
    <w:rsid w:val="002639FA"/>
    <w:rsid w:val="00264352"/>
    <w:rsid w:val="002653A0"/>
    <w:rsid w:val="0026599F"/>
    <w:rsid w:val="00266704"/>
    <w:rsid w:val="0026772E"/>
    <w:rsid w:val="0027063B"/>
    <w:rsid w:val="0027167F"/>
    <w:rsid w:val="00272C50"/>
    <w:rsid w:val="0027499D"/>
    <w:rsid w:val="00274B82"/>
    <w:rsid w:val="00274C60"/>
    <w:rsid w:val="002752DA"/>
    <w:rsid w:val="00275327"/>
    <w:rsid w:val="00276512"/>
    <w:rsid w:val="00276583"/>
    <w:rsid w:val="002766BF"/>
    <w:rsid w:val="0027686D"/>
    <w:rsid w:val="00277FB2"/>
    <w:rsid w:val="00280E41"/>
    <w:rsid w:val="0028199B"/>
    <w:rsid w:val="00281EB6"/>
    <w:rsid w:val="00283398"/>
    <w:rsid w:val="00283897"/>
    <w:rsid w:val="00283AB6"/>
    <w:rsid w:val="0028533C"/>
    <w:rsid w:val="00285465"/>
    <w:rsid w:val="00286CA3"/>
    <w:rsid w:val="00287328"/>
    <w:rsid w:val="00287D4B"/>
    <w:rsid w:val="0029085F"/>
    <w:rsid w:val="00290B5B"/>
    <w:rsid w:val="00290C2A"/>
    <w:rsid w:val="00290CFC"/>
    <w:rsid w:val="0029144C"/>
    <w:rsid w:val="002921B3"/>
    <w:rsid w:val="00292E99"/>
    <w:rsid w:val="002936A6"/>
    <w:rsid w:val="00293DFD"/>
    <w:rsid w:val="002953F8"/>
    <w:rsid w:val="002954AC"/>
    <w:rsid w:val="00296757"/>
    <w:rsid w:val="00297762"/>
    <w:rsid w:val="00297959"/>
    <w:rsid w:val="002A0501"/>
    <w:rsid w:val="002A0B9A"/>
    <w:rsid w:val="002A12DC"/>
    <w:rsid w:val="002A40C0"/>
    <w:rsid w:val="002A4BF1"/>
    <w:rsid w:val="002A4FBD"/>
    <w:rsid w:val="002A5A80"/>
    <w:rsid w:val="002A5AC9"/>
    <w:rsid w:val="002A6C5E"/>
    <w:rsid w:val="002A71F2"/>
    <w:rsid w:val="002A7284"/>
    <w:rsid w:val="002A7FAD"/>
    <w:rsid w:val="002B17BB"/>
    <w:rsid w:val="002B1831"/>
    <w:rsid w:val="002B1D5F"/>
    <w:rsid w:val="002B2066"/>
    <w:rsid w:val="002B2A01"/>
    <w:rsid w:val="002B2CB8"/>
    <w:rsid w:val="002B2D54"/>
    <w:rsid w:val="002B4291"/>
    <w:rsid w:val="002B4875"/>
    <w:rsid w:val="002B4C0B"/>
    <w:rsid w:val="002B5503"/>
    <w:rsid w:val="002B615B"/>
    <w:rsid w:val="002B69E9"/>
    <w:rsid w:val="002B6A8E"/>
    <w:rsid w:val="002B6F52"/>
    <w:rsid w:val="002B7EFE"/>
    <w:rsid w:val="002C0E5C"/>
    <w:rsid w:val="002C1307"/>
    <w:rsid w:val="002C2E9B"/>
    <w:rsid w:val="002C350C"/>
    <w:rsid w:val="002C3DBC"/>
    <w:rsid w:val="002C4E02"/>
    <w:rsid w:val="002C5127"/>
    <w:rsid w:val="002C51C6"/>
    <w:rsid w:val="002C6C8C"/>
    <w:rsid w:val="002C7C8E"/>
    <w:rsid w:val="002D249C"/>
    <w:rsid w:val="002D34A5"/>
    <w:rsid w:val="002D469F"/>
    <w:rsid w:val="002D4A6B"/>
    <w:rsid w:val="002D4BD7"/>
    <w:rsid w:val="002D5B8A"/>
    <w:rsid w:val="002E5277"/>
    <w:rsid w:val="002E5495"/>
    <w:rsid w:val="002E5783"/>
    <w:rsid w:val="002E5F02"/>
    <w:rsid w:val="002E60EE"/>
    <w:rsid w:val="002E6CBD"/>
    <w:rsid w:val="002E6F33"/>
    <w:rsid w:val="002E79DF"/>
    <w:rsid w:val="002F0105"/>
    <w:rsid w:val="002F2965"/>
    <w:rsid w:val="002F2BA9"/>
    <w:rsid w:val="002F49D0"/>
    <w:rsid w:val="002F5485"/>
    <w:rsid w:val="002F6253"/>
    <w:rsid w:val="002F70F1"/>
    <w:rsid w:val="002F74AE"/>
    <w:rsid w:val="002F7E56"/>
    <w:rsid w:val="0030029D"/>
    <w:rsid w:val="00300317"/>
    <w:rsid w:val="003019F4"/>
    <w:rsid w:val="00301BE8"/>
    <w:rsid w:val="00302808"/>
    <w:rsid w:val="00303A58"/>
    <w:rsid w:val="00304116"/>
    <w:rsid w:val="00305B32"/>
    <w:rsid w:val="00306088"/>
    <w:rsid w:val="003070C2"/>
    <w:rsid w:val="0030784F"/>
    <w:rsid w:val="003079BB"/>
    <w:rsid w:val="00310AE8"/>
    <w:rsid w:val="00311661"/>
    <w:rsid w:val="003120A5"/>
    <w:rsid w:val="00313A85"/>
    <w:rsid w:val="00313C9C"/>
    <w:rsid w:val="00314374"/>
    <w:rsid w:val="00315B41"/>
    <w:rsid w:val="00316C17"/>
    <w:rsid w:val="00320260"/>
    <w:rsid w:val="0032193C"/>
    <w:rsid w:val="00321D61"/>
    <w:rsid w:val="00323458"/>
    <w:rsid w:val="00323FB5"/>
    <w:rsid w:val="003247FF"/>
    <w:rsid w:val="00325F20"/>
    <w:rsid w:val="00326192"/>
    <w:rsid w:val="00326EDE"/>
    <w:rsid w:val="00330247"/>
    <w:rsid w:val="00330EA1"/>
    <w:rsid w:val="00331D8E"/>
    <w:rsid w:val="00332B99"/>
    <w:rsid w:val="00333076"/>
    <w:rsid w:val="0033311F"/>
    <w:rsid w:val="003333ED"/>
    <w:rsid w:val="003337A1"/>
    <w:rsid w:val="00334A5F"/>
    <w:rsid w:val="00334F6A"/>
    <w:rsid w:val="00335780"/>
    <w:rsid w:val="00335BC0"/>
    <w:rsid w:val="00336498"/>
    <w:rsid w:val="00336FB4"/>
    <w:rsid w:val="003372EA"/>
    <w:rsid w:val="003403E3"/>
    <w:rsid w:val="003405D1"/>
    <w:rsid w:val="003411E1"/>
    <w:rsid w:val="003412EA"/>
    <w:rsid w:val="00341A17"/>
    <w:rsid w:val="00341BCE"/>
    <w:rsid w:val="003443E9"/>
    <w:rsid w:val="00344401"/>
    <w:rsid w:val="00345391"/>
    <w:rsid w:val="00347D23"/>
    <w:rsid w:val="00350A70"/>
    <w:rsid w:val="00352313"/>
    <w:rsid w:val="00353B05"/>
    <w:rsid w:val="00354793"/>
    <w:rsid w:val="00354FB6"/>
    <w:rsid w:val="00356DCC"/>
    <w:rsid w:val="0035700B"/>
    <w:rsid w:val="003573E3"/>
    <w:rsid w:val="003577BC"/>
    <w:rsid w:val="00360B18"/>
    <w:rsid w:val="0036150A"/>
    <w:rsid w:val="003621AE"/>
    <w:rsid w:val="003625BE"/>
    <w:rsid w:val="0036488B"/>
    <w:rsid w:val="00365608"/>
    <w:rsid w:val="00365788"/>
    <w:rsid w:val="003663CA"/>
    <w:rsid w:val="0036736F"/>
    <w:rsid w:val="00367F72"/>
    <w:rsid w:val="003701DE"/>
    <w:rsid w:val="003706A6"/>
    <w:rsid w:val="00371917"/>
    <w:rsid w:val="00373A52"/>
    <w:rsid w:val="0037679E"/>
    <w:rsid w:val="003770A5"/>
    <w:rsid w:val="00377B4D"/>
    <w:rsid w:val="00382D9F"/>
    <w:rsid w:val="00384B3B"/>
    <w:rsid w:val="00384C36"/>
    <w:rsid w:val="0038508D"/>
    <w:rsid w:val="00385F33"/>
    <w:rsid w:val="00386E11"/>
    <w:rsid w:val="00386E9C"/>
    <w:rsid w:val="00387723"/>
    <w:rsid w:val="00387B38"/>
    <w:rsid w:val="00387CEF"/>
    <w:rsid w:val="003911F9"/>
    <w:rsid w:val="003912E9"/>
    <w:rsid w:val="0039168C"/>
    <w:rsid w:val="00391750"/>
    <w:rsid w:val="00391D1E"/>
    <w:rsid w:val="003920B3"/>
    <w:rsid w:val="00392824"/>
    <w:rsid w:val="003936F3"/>
    <w:rsid w:val="003940BC"/>
    <w:rsid w:val="00394292"/>
    <w:rsid w:val="003954D7"/>
    <w:rsid w:val="003974C0"/>
    <w:rsid w:val="003A04CB"/>
    <w:rsid w:val="003A0A07"/>
    <w:rsid w:val="003A176D"/>
    <w:rsid w:val="003A1F56"/>
    <w:rsid w:val="003A569D"/>
    <w:rsid w:val="003A658B"/>
    <w:rsid w:val="003A7000"/>
    <w:rsid w:val="003A7928"/>
    <w:rsid w:val="003B023D"/>
    <w:rsid w:val="003B084B"/>
    <w:rsid w:val="003B0CDC"/>
    <w:rsid w:val="003B1B0B"/>
    <w:rsid w:val="003B1B1A"/>
    <w:rsid w:val="003B2877"/>
    <w:rsid w:val="003B3F05"/>
    <w:rsid w:val="003B3F74"/>
    <w:rsid w:val="003B42D1"/>
    <w:rsid w:val="003B45FE"/>
    <w:rsid w:val="003B5A8E"/>
    <w:rsid w:val="003B637A"/>
    <w:rsid w:val="003B6620"/>
    <w:rsid w:val="003B6FA8"/>
    <w:rsid w:val="003B7A4D"/>
    <w:rsid w:val="003C03C1"/>
    <w:rsid w:val="003C11B9"/>
    <w:rsid w:val="003C1FA0"/>
    <w:rsid w:val="003C2380"/>
    <w:rsid w:val="003C2DC6"/>
    <w:rsid w:val="003C4956"/>
    <w:rsid w:val="003C52EF"/>
    <w:rsid w:val="003C7496"/>
    <w:rsid w:val="003C76DD"/>
    <w:rsid w:val="003C7C33"/>
    <w:rsid w:val="003D001B"/>
    <w:rsid w:val="003D19AB"/>
    <w:rsid w:val="003D338C"/>
    <w:rsid w:val="003D367C"/>
    <w:rsid w:val="003D3933"/>
    <w:rsid w:val="003D5485"/>
    <w:rsid w:val="003D5502"/>
    <w:rsid w:val="003D5AE0"/>
    <w:rsid w:val="003D5B03"/>
    <w:rsid w:val="003D5FA5"/>
    <w:rsid w:val="003D7253"/>
    <w:rsid w:val="003D73E1"/>
    <w:rsid w:val="003D769F"/>
    <w:rsid w:val="003D7910"/>
    <w:rsid w:val="003E3D4E"/>
    <w:rsid w:val="003E57EF"/>
    <w:rsid w:val="003E5A20"/>
    <w:rsid w:val="003E61F9"/>
    <w:rsid w:val="003E7D94"/>
    <w:rsid w:val="003F004A"/>
    <w:rsid w:val="003F0C26"/>
    <w:rsid w:val="003F0CBC"/>
    <w:rsid w:val="003F29B5"/>
    <w:rsid w:val="003F3C47"/>
    <w:rsid w:val="003F41C6"/>
    <w:rsid w:val="003F62F3"/>
    <w:rsid w:val="003F62F4"/>
    <w:rsid w:val="003F6B1E"/>
    <w:rsid w:val="0040026B"/>
    <w:rsid w:val="0040051D"/>
    <w:rsid w:val="004014F3"/>
    <w:rsid w:val="00402245"/>
    <w:rsid w:val="00402BC2"/>
    <w:rsid w:val="00402D85"/>
    <w:rsid w:val="00403FFF"/>
    <w:rsid w:val="004049B7"/>
    <w:rsid w:val="00404DAD"/>
    <w:rsid w:val="00405ADF"/>
    <w:rsid w:val="0040672F"/>
    <w:rsid w:val="00406AD1"/>
    <w:rsid w:val="004100E5"/>
    <w:rsid w:val="004109FC"/>
    <w:rsid w:val="00410A09"/>
    <w:rsid w:val="00410EB0"/>
    <w:rsid w:val="004113E0"/>
    <w:rsid w:val="00412E1E"/>
    <w:rsid w:val="004159AA"/>
    <w:rsid w:val="00416180"/>
    <w:rsid w:val="00416563"/>
    <w:rsid w:val="00420EDC"/>
    <w:rsid w:val="00421120"/>
    <w:rsid w:val="00421D0D"/>
    <w:rsid w:val="00422051"/>
    <w:rsid w:val="00422734"/>
    <w:rsid w:val="00422EA5"/>
    <w:rsid w:val="0042317A"/>
    <w:rsid w:val="00423421"/>
    <w:rsid w:val="00423A15"/>
    <w:rsid w:val="00424F20"/>
    <w:rsid w:val="0042514B"/>
    <w:rsid w:val="00425C61"/>
    <w:rsid w:val="00425C6A"/>
    <w:rsid w:val="004260C7"/>
    <w:rsid w:val="00426423"/>
    <w:rsid w:val="00432092"/>
    <w:rsid w:val="00433014"/>
    <w:rsid w:val="00434F8E"/>
    <w:rsid w:val="00435A15"/>
    <w:rsid w:val="00436578"/>
    <w:rsid w:val="0043690B"/>
    <w:rsid w:val="0044057E"/>
    <w:rsid w:val="004405F7"/>
    <w:rsid w:val="00440945"/>
    <w:rsid w:val="00440F41"/>
    <w:rsid w:val="00441BAE"/>
    <w:rsid w:val="00441F74"/>
    <w:rsid w:val="00442515"/>
    <w:rsid w:val="00443122"/>
    <w:rsid w:val="0044371E"/>
    <w:rsid w:val="00443ECE"/>
    <w:rsid w:val="004441B4"/>
    <w:rsid w:val="00445083"/>
    <w:rsid w:val="00445784"/>
    <w:rsid w:val="00446995"/>
    <w:rsid w:val="00450267"/>
    <w:rsid w:val="00450CB5"/>
    <w:rsid w:val="00451235"/>
    <w:rsid w:val="0045123C"/>
    <w:rsid w:val="00451255"/>
    <w:rsid w:val="00451D48"/>
    <w:rsid w:val="00452E61"/>
    <w:rsid w:val="004535F3"/>
    <w:rsid w:val="00455784"/>
    <w:rsid w:val="004569D5"/>
    <w:rsid w:val="00457751"/>
    <w:rsid w:val="00457ACA"/>
    <w:rsid w:val="00457EF0"/>
    <w:rsid w:val="00460C53"/>
    <w:rsid w:val="00460EB2"/>
    <w:rsid w:val="00461316"/>
    <w:rsid w:val="00461EBA"/>
    <w:rsid w:val="004623EB"/>
    <w:rsid w:val="004624B0"/>
    <w:rsid w:val="004626FA"/>
    <w:rsid w:val="00462AB8"/>
    <w:rsid w:val="00463E46"/>
    <w:rsid w:val="00464944"/>
    <w:rsid w:val="00464F7A"/>
    <w:rsid w:val="0046570B"/>
    <w:rsid w:val="004659D5"/>
    <w:rsid w:val="00465AFE"/>
    <w:rsid w:val="004677C9"/>
    <w:rsid w:val="004717E6"/>
    <w:rsid w:val="00471D1B"/>
    <w:rsid w:val="00473423"/>
    <w:rsid w:val="004738F8"/>
    <w:rsid w:val="00475077"/>
    <w:rsid w:val="00475270"/>
    <w:rsid w:val="00475F0F"/>
    <w:rsid w:val="004769B2"/>
    <w:rsid w:val="00480571"/>
    <w:rsid w:val="00481546"/>
    <w:rsid w:val="0048159B"/>
    <w:rsid w:val="00482698"/>
    <w:rsid w:val="00482D9B"/>
    <w:rsid w:val="00483315"/>
    <w:rsid w:val="004846D4"/>
    <w:rsid w:val="00484748"/>
    <w:rsid w:val="0048575F"/>
    <w:rsid w:val="00485798"/>
    <w:rsid w:val="004858C1"/>
    <w:rsid w:val="00485A68"/>
    <w:rsid w:val="004863F1"/>
    <w:rsid w:val="00487082"/>
    <w:rsid w:val="0049112D"/>
    <w:rsid w:val="0049129C"/>
    <w:rsid w:val="004915FA"/>
    <w:rsid w:val="004916CB"/>
    <w:rsid w:val="00491F3E"/>
    <w:rsid w:val="0049310B"/>
    <w:rsid w:val="0049318C"/>
    <w:rsid w:val="004933A5"/>
    <w:rsid w:val="00493783"/>
    <w:rsid w:val="004939C9"/>
    <w:rsid w:val="0049401A"/>
    <w:rsid w:val="00494182"/>
    <w:rsid w:val="00494832"/>
    <w:rsid w:val="00495051"/>
    <w:rsid w:val="004A086E"/>
    <w:rsid w:val="004A47AF"/>
    <w:rsid w:val="004A5119"/>
    <w:rsid w:val="004A5A4B"/>
    <w:rsid w:val="004A6645"/>
    <w:rsid w:val="004A6A20"/>
    <w:rsid w:val="004A6A6C"/>
    <w:rsid w:val="004A7C2B"/>
    <w:rsid w:val="004B0CA8"/>
    <w:rsid w:val="004B0DBB"/>
    <w:rsid w:val="004B1C4A"/>
    <w:rsid w:val="004B1FC0"/>
    <w:rsid w:val="004B2038"/>
    <w:rsid w:val="004B243E"/>
    <w:rsid w:val="004B2519"/>
    <w:rsid w:val="004B4153"/>
    <w:rsid w:val="004B44EA"/>
    <w:rsid w:val="004B4628"/>
    <w:rsid w:val="004B49BF"/>
    <w:rsid w:val="004B5BA0"/>
    <w:rsid w:val="004B6493"/>
    <w:rsid w:val="004C13AA"/>
    <w:rsid w:val="004C14C7"/>
    <w:rsid w:val="004C166E"/>
    <w:rsid w:val="004C1CDB"/>
    <w:rsid w:val="004C1D76"/>
    <w:rsid w:val="004C25BA"/>
    <w:rsid w:val="004C3C39"/>
    <w:rsid w:val="004C4F89"/>
    <w:rsid w:val="004C5DB3"/>
    <w:rsid w:val="004C6C1E"/>
    <w:rsid w:val="004C74C7"/>
    <w:rsid w:val="004C7519"/>
    <w:rsid w:val="004C760E"/>
    <w:rsid w:val="004C7858"/>
    <w:rsid w:val="004C7B3D"/>
    <w:rsid w:val="004C7C90"/>
    <w:rsid w:val="004D0746"/>
    <w:rsid w:val="004D093C"/>
    <w:rsid w:val="004D0E97"/>
    <w:rsid w:val="004D0EEA"/>
    <w:rsid w:val="004D1C95"/>
    <w:rsid w:val="004D4543"/>
    <w:rsid w:val="004D5A39"/>
    <w:rsid w:val="004D5FAA"/>
    <w:rsid w:val="004D6E0A"/>
    <w:rsid w:val="004D7458"/>
    <w:rsid w:val="004D7713"/>
    <w:rsid w:val="004E047F"/>
    <w:rsid w:val="004E27C6"/>
    <w:rsid w:val="004E41EB"/>
    <w:rsid w:val="004E434E"/>
    <w:rsid w:val="004E445E"/>
    <w:rsid w:val="004E5D4D"/>
    <w:rsid w:val="004E71D3"/>
    <w:rsid w:val="004E72EF"/>
    <w:rsid w:val="004E7E4C"/>
    <w:rsid w:val="004F0EF4"/>
    <w:rsid w:val="004F132D"/>
    <w:rsid w:val="004F1CDF"/>
    <w:rsid w:val="004F1DDE"/>
    <w:rsid w:val="004F2289"/>
    <w:rsid w:val="004F245C"/>
    <w:rsid w:val="004F2825"/>
    <w:rsid w:val="004F2EF8"/>
    <w:rsid w:val="004F4477"/>
    <w:rsid w:val="004F655A"/>
    <w:rsid w:val="004F6BC8"/>
    <w:rsid w:val="004F7535"/>
    <w:rsid w:val="004F792E"/>
    <w:rsid w:val="00500D6A"/>
    <w:rsid w:val="0050109B"/>
    <w:rsid w:val="005010DC"/>
    <w:rsid w:val="00501142"/>
    <w:rsid w:val="005014DB"/>
    <w:rsid w:val="0050210A"/>
    <w:rsid w:val="00503CB7"/>
    <w:rsid w:val="00503E99"/>
    <w:rsid w:val="00504612"/>
    <w:rsid w:val="00504BB5"/>
    <w:rsid w:val="0050612E"/>
    <w:rsid w:val="0050717B"/>
    <w:rsid w:val="005073DC"/>
    <w:rsid w:val="00507A0C"/>
    <w:rsid w:val="0051149E"/>
    <w:rsid w:val="00511D88"/>
    <w:rsid w:val="00512C7E"/>
    <w:rsid w:val="00512F16"/>
    <w:rsid w:val="00513E64"/>
    <w:rsid w:val="00514966"/>
    <w:rsid w:val="005162B8"/>
    <w:rsid w:val="00516E29"/>
    <w:rsid w:val="005177F5"/>
    <w:rsid w:val="00517B83"/>
    <w:rsid w:val="00520159"/>
    <w:rsid w:val="005206EC"/>
    <w:rsid w:val="00520BE5"/>
    <w:rsid w:val="00520F2D"/>
    <w:rsid w:val="005220FE"/>
    <w:rsid w:val="00522674"/>
    <w:rsid w:val="0052300D"/>
    <w:rsid w:val="005243AA"/>
    <w:rsid w:val="00524564"/>
    <w:rsid w:val="0052699A"/>
    <w:rsid w:val="00526C7A"/>
    <w:rsid w:val="00527B29"/>
    <w:rsid w:val="00530343"/>
    <w:rsid w:val="00530842"/>
    <w:rsid w:val="00530A8D"/>
    <w:rsid w:val="00530DCD"/>
    <w:rsid w:val="00531118"/>
    <w:rsid w:val="005313FE"/>
    <w:rsid w:val="0053226E"/>
    <w:rsid w:val="0053299E"/>
    <w:rsid w:val="00533D95"/>
    <w:rsid w:val="0053527F"/>
    <w:rsid w:val="00536A38"/>
    <w:rsid w:val="00536FF8"/>
    <w:rsid w:val="005377C6"/>
    <w:rsid w:val="00540168"/>
    <w:rsid w:val="00540682"/>
    <w:rsid w:val="005407F1"/>
    <w:rsid w:val="00540A85"/>
    <w:rsid w:val="00540DBF"/>
    <w:rsid w:val="00540F59"/>
    <w:rsid w:val="00541711"/>
    <w:rsid w:val="00541C15"/>
    <w:rsid w:val="00542021"/>
    <w:rsid w:val="00542D1C"/>
    <w:rsid w:val="00544699"/>
    <w:rsid w:val="00546C05"/>
    <w:rsid w:val="005502D9"/>
    <w:rsid w:val="005505FF"/>
    <w:rsid w:val="00551C3F"/>
    <w:rsid w:val="00551D36"/>
    <w:rsid w:val="0055203B"/>
    <w:rsid w:val="00552E40"/>
    <w:rsid w:val="005538B3"/>
    <w:rsid w:val="005563D6"/>
    <w:rsid w:val="00556C2E"/>
    <w:rsid w:val="00557EAC"/>
    <w:rsid w:val="005600C6"/>
    <w:rsid w:val="00560124"/>
    <w:rsid w:val="00560367"/>
    <w:rsid w:val="00561686"/>
    <w:rsid w:val="005619AE"/>
    <w:rsid w:val="00563475"/>
    <w:rsid w:val="0056399C"/>
    <w:rsid w:val="0056538A"/>
    <w:rsid w:val="00565FB0"/>
    <w:rsid w:val="00566E9A"/>
    <w:rsid w:val="005673C8"/>
    <w:rsid w:val="00567BA7"/>
    <w:rsid w:val="005701F4"/>
    <w:rsid w:val="00570315"/>
    <w:rsid w:val="005703D5"/>
    <w:rsid w:val="0057040A"/>
    <w:rsid w:val="005718D9"/>
    <w:rsid w:val="0057221F"/>
    <w:rsid w:val="00572254"/>
    <w:rsid w:val="00573183"/>
    <w:rsid w:val="00573695"/>
    <w:rsid w:val="0057377D"/>
    <w:rsid w:val="0057428E"/>
    <w:rsid w:val="00574C6F"/>
    <w:rsid w:val="00575300"/>
    <w:rsid w:val="005758AF"/>
    <w:rsid w:val="00575EDD"/>
    <w:rsid w:val="00576257"/>
    <w:rsid w:val="00576A02"/>
    <w:rsid w:val="00576C53"/>
    <w:rsid w:val="0058000F"/>
    <w:rsid w:val="00581AF8"/>
    <w:rsid w:val="005826E8"/>
    <w:rsid w:val="00582BAE"/>
    <w:rsid w:val="00582F28"/>
    <w:rsid w:val="00583D92"/>
    <w:rsid w:val="0058586B"/>
    <w:rsid w:val="005878C5"/>
    <w:rsid w:val="00590444"/>
    <w:rsid w:val="00592D83"/>
    <w:rsid w:val="005933D2"/>
    <w:rsid w:val="0059468D"/>
    <w:rsid w:val="00596446"/>
    <w:rsid w:val="00597D69"/>
    <w:rsid w:val="005A0F5B"/>
    <w:rsid w:val="005A2EA1"/>
    <w:rsid w:val="005A2EA2"/>
    <w:rsid w:val="005A3045"/>
    <w:rsid w:val="005A395D"/>
    <w:rsid w:val="005A3A4A"/>
    <w:rsid w:val="005A3A7F"/>
    <w:rsid w:val="005A3EA4"/>
    <w:rsid w:val="005A405B"/>
    <w:rsid w:val="005A58B0"/>
    <w:rsid w:val="005B00F1"/>
    <w:rsid w:val="005B0249"/>
    <w:rsid w:val="005B02C5"/>
    <w:rsid w:val="005B1642"/>
    <w:rsid w:val="005B368D"/>
    <w:rsid w:val="005B39EE"/>
    <w:rsid w:val="005B4C8D"/>
    <w:rsid w:val="005B4D9A"/>
    <w:rsid w:val="005B4F14"/>
    <w:rsid w:val="005B5EFF"/>
    <w:rsid w:val="005B6327"/>
    <w:rsid w:val="005B6D0D"/>
    <w:rsid w:val="005B7B28"/>
    <w:rsid w:val="005C00AB"/>
    <w:rsid w:val="005C0783"/>
    <w:rsid w:val="005C0C6A"/>
    <w:rsid w:val="005C1C50"/>
    <w:rsid w:val="005C21E8"/>
    <w:rsid w:val="005C2B43"/>
    <w:rsid w:val="005C51A8"/>
    <w:rsid w:val="005D2202"/>
    <w:rsid w:val="005D2F12"/>
    <w:rsid w:val="005D2F75"/>
    <w:rsid w:val="005D32A7"/>
    <w:rsid w:val="005D47BF"/>
    <w:rsid w:val="005D4A55"/>
    <w:rsid w:val="005D5ECB"/>
    <w:rsid w:val="005D5F0D"/>
    <w:rsid w:val="005D68E9"/>
    <w:rsid w:val="005D6B00"/>
    <w:rsid w:val="005D7EAE"/>
    <w:rsid w:val="005E01E1"/>
    <w:rsid w:val="005E1108"/>
    <w:rsid w:val="005E22F9"/>
    <w:rsid w:val="005E2986"/>
    <w:rsid w:val="005E537A"/>
    <w:rsid w:val="005E6CCE"/>
    <w:rsid w:val="005E7AC2"/>
    <w:rsid w:val="005F03B3"/>
    <w:rsid w:val="005F1AE0"/>
    <w:rsid w:val="005F3259"/>
    <w:rsid w:val="005F3FBE"/>
    <w:rsid w:val="005F558D"/>
    <w:rsid w:val="005F600C"/>
    <w:rsid w:val="005F649A"/>
    <w:rsid w:val="005F66F0"/>
    <w:rsid w:val="005F6D68"/>
    <w:rsid w:val="005F72F0"/>
    <w:rsid w:val="00600163"/>
    <w:rsid w:val="006024D9"/>
    <w:rsid w:val="006027E5"/>
    <w:rsid w:val="00602BBE"/>
    <w:rsid w:val="00602BC5"/>
    <w:rsid w:val="00602E93"/>
    <w:rsid w:val="00603134"/>
    <w:rsid w:val="00603148"/>
    <w:rsid w:val="00603679"/>
    <w:rsid w:val="00603988"/>
    <w:rsid w:val="0060578F"/>
    <w:rsid w:val="00605E80"/>
    <w:rsid w:val="00606F2C"/>
    <w:rsid w:val="00611156"/>
    <w:rsid w:val="00611B89"/>
    <w:rsid w:val="00613615"/>
    <w:rsid w:val="006139E8"/>
    <w:rsid w:val="00613B2D"/>
    <w:rsid w:val="00613E7B"/>
    <w:rsid w:val="006140D6"/>
    <w:rsid w:val="006148DD"/>
    <w:rsid w:val="0061494C"/>
    <w:rsid w:val="00615544"/>
    <w:rsid w:val="00615908"/>
    <w:rsid w:val="00615ABF"/>
    <w:rsid w:val="00615CF5"/>
    <w:rsid w:val="0061756E"/>
    <w:rsid w:val="006175E2"/>
    <w:rsid w:val="00620182"/>
    <w:rsid w:val="006224FE"/>
    <w:rsid w:val="0062282E"/>
    <w:rsid w:val="0062285D"/>
    <w:rsid w:val="006236D9"/>
    <w:rsid w:val="00623D6C"/>
    <w:rsid w:val="00623E7C"/>
    <w:rsid w:val="0062401D"/>
    <w:rsid w:val="00625433"/>
    <w:rsid w:val="0062573A"/>
    <w:rsid w:val="0062611B"/>
    <w:rsid w:val="0062646C"/>
    <w:rsid w:val="006267CF"/>
    <w:rsid w:val="00626C34"/>
    <w:rsid w:val="0063042A"/>
    <w:rsid w:val="0063145E"/>
    <w:rsid w:val="00631823"/>
    <w:rsid w:val="00632CB8"/>
    <w:rsid w:val="0063310F"/>
    <w:rsid w:val="00633226"/>
    <w:rsid w:val="0063376B"/>
    <w:rsid w:val="00633E80"/>
    <w:rsid w:val="00634154"/>
    <w:rsid w:val="00634BB9"/>
    <w:rsid w:val="00634D62"/>
    <w:rsid w:val="00635C58"/>
    <w:rsid w:val="00636953"/>
    <w:rsid w:val="00636AE5"/>
    <w:rsid w:val="00636D84"/>
    <w:rsid w:val="00637A3B"/>
    <w:rsid w:val="0064155D"/>
    <w:rsid w:val="0064186F"/>
    <w:rsid w:val="00641B5B"/>
    <w:rsid w:val="0064264E"/>
    <w:rsid w:val="006447CD"/>
    <w:rsid w:val="006449AF"/>
    <w:rsid w:val="00644C03"/>
    <w:rsid w:val="00646ECE"/>
    <w:rsid w:val="006471B2"/>
    <w:rsid w:val="00647D56"/>
    <w:rsid w:val="006500D9"/>
    <w:rsid w:val="006504C5"/>
    <w:rsid w:val="006509D8"/>
    <w:rsid w:val="006514E9"/>
    <w:rsid w:val="00652710"/>
    <w:rsid w:val="00652D1C"/>
    <w:rsid w:val="00653CAB"/>
    <w:rsid w:val="00654190"/>
    <w:rsid w:val="0065505D"/>
    <w:rsid w:val="00655AF4"/>
    <w:rsid w:val="0065678A"/>
    <w:rsid w:val="006572F4"/>
    <w:rsid w:val="00657D2E"/>
    <w:rsid w:val="00660412"/>
    <w:rsid w:val="006604EB"/>
    <w:rsid w:val="006612F8"/>
    <w:rsid w:val="006613BA"/>
    <w:rsid w:val="00661548"/>
    <w:rsid w:val="00661D2B"/>
    <w:rsid w:val="00661D6C"/>
    <w:rsid w:val="00662631"/>
    <w:rsid w:val="006627E9"/>
    <w:rsid w:val="006635F3"/>
    <w:rsid w:val="00663A86"/>
    <w:rsid w:val="00663D39"/>
    <w:rsid w:val="00665338"/>
    <w:rsid w:val="00665BFC"/>
    <w:rsid w:val="006667F4"/>
    <w:rsid w:val="006670BC"/>
    <w:rsid w:val="006676E5"/>
    <w:rsid w:val="006716A6"/>
    <w:rsid w:val="00673348"/>
    <w:rsid w:val="006736EF"/>
    <w:rsid w:val="006747CE"/>
    <w:rsid w:val="006754BB"/>
    <w:rsid w:val="00675E3A"/>
    <w:rsid w:val="00676005"/>
    <w:rsid w:val="006761BF"/>
    <w:rsid w:val="00676204"/>
    <w:rsid w:val="00677126"/>
    <w:rsid w:val="00681007"/>
    <w:rsid w:val="006827E9"/>
    <w:rsid w:val="00682B1A"/>
    <w:rsid w:val="00684384"/>
    <w:rsid w:val="00685699"/>
    <w:rsid w:val="0068623D"/>
    <w:rsid w:val="00686D4F"/>
    <w:rsid w:val="00687326"/>
    <w:rsid w:val="00687FB8"/>
    <w:rsid w:val="0069176B"/>
    <w:rsid w:val="00692BB3"/>
    <w:rsid w:val="0069310B"/>
    <w:rsid w:val="00693111"/>
    <w:rsid w:val="006932E3"/>
    <w:rsid w:val="00693316"/>
    <w:rsid w:val="006936C8"/>
    <w:rsid w:val="006937AE"/>
    <w:rsid w:val="006946F4"/>
    <w:rsid w:val="00694DD2"/>
    <w:rsid w:val="0069513F"/>
    <w:rsid w:val="00695BDD"/>
    <w:rsid w:val="00695D7B"/>
    <w:rsid w:val="00696C3F"/>
    <w:rsid w:val="006970EC"/>
    <w:rsid w:val="0069752D"/>
    <w:rsid w:val="00697652"/>
    <w:rsid w:val="006A083A"/>
    <w:rsid w:val="006A201B"/>
    <w:rsid w:val="006A38EA"/>
    <w:rsid w:val="006A520F"/>
    <w:rsid w:val="006A5938"/>
    <w:rsid w:val="006A6C1E"/>
    <w:rsid w:val="006A70AA"/>
    <w:rsid w:val="006A74A1"/>
    <w:rsid w:val="006A7BA5"/>
    <w:rsid w:val="006B0EB0"/>
    <w:rsid w:val="006B1193"/>
    <w:rsid w:val="006B1C31"/>
    <w:rsid w:val="006B234E"/>
    <w:rsid w:val="006B2A8D"/>
    <w:rsid w:val="006B2AA2"/>
    <w:rsid w:val="006B2B1D"/>
    <w:rsid w:val="006B41C0"/>
    <w:rsid w:val="006B5508"/>
    <w:rsid w:val="006B5A73"/>
    <w:rsid w:val="006B6663"/>
    <w:rsid w:val="006B6918"/>
    <w:rsid w:val="006C15F8"/>
    <w:rsid w:val="006C175A"/>
    <w:rsid w:val="006C4401"/>
    <w:rsid w:val="006C489A"/>
    <w:rsid w:val="006C7090"/>
    <w:rsid w:val="006C7217"/>
    <w:rsid w:val="006C7350"/>
    <w:rsid w:val="006C7988"/>
    <w:rsid w:val="006C7A50"/>
    <w:rsid w:val="006D1239"/>
    <w:rsid w:val="006D1854"/>
    <w:rsid w:val="006D1B0F"/>
    <w:rsid w:val="006D4739"/>
    <w:rsid w:val="006D5164"/>
    <w:rsid w:val="006D5D83"/>
    <w:rsid w:val="006D5DA4"/>
    <w:rsid w:val="006D6A40"/>
    <w:rsid w:val="006D6F6F"/>
    <w:rsid w:val="006D765D"/>
    <w:rsid w:val="006D7DBC"/>
    <w:rsid w:val="006E053F"/>
    <w:rsid w:val="006E2717"/>
    <w:rsid w:val="006E2D14"/>
    <w:rsid w:val="006E3883"/>
    <w:rsid w:val="006E3C61"/>
    <w:rsid w:val="006E4C55"/>
    <w:rsid w:val="006E5A9F"/>
    <w:rsid w:val="006E6B81"/>
    <w:rsid w:val="006E6F2D"/>
    <w:rsid w:val="006E7811"/>
    <w:rsid w:val="006E7F3C"/>
    <w:rsid w:val="006F0F88"/>
    <w:rsid w:val="006F2BA5"/>
    <w:rsid w:val="006F3074"/>
    <w:rsid w:val="006F43A4"/>
    <w:rsid w:val="006F4A6C"/>
    <w:rsid w:val="006F50CA"/>
    <w:rsid w:val="006F5AAA"/>
    <w:rsid w:val="006F5C48"/>
    <w:rsid w:val="006F5F2E"/>
    <w:rsid w:val="006F6798"/>
    <w:rsid w:val="006F68A9"/>
    <w:rsid w:val="006F6F56"/>
    <w:rsid w:val="006F7877"/>
    <w:rsid w:val="007011E7"/>
    <w:rsid w:val="00703798"/>
    <w:rsid w:val="00703BCD"/>
    <w:rsid w:val="00706333"/>
    <w:rsid w:val="007101AB"/>
    <w:rsid w:val="007104A4"/>
    <w:rsid w:val="0071093D"/>
    <w:rsid w:val="00711B8E"/>
    <w:rsid w:val="00711D4D"/>
    <w:rsid w:val="007124B9"/>
    <w:rsid w:val="00712C41"/>
    <w:rsid w:val="00712CCF"/>
    <w:rsid w:val="00714586"/>
    <w:rsid w:val="00714A6E"/>
    <w:rsid w:val="00714CA3"/>
    <w:rsid w:val="00715305"/>
    <w:rsid w:val="00715557"/>
    <w:rsid w:val="00715FD7"/>
    <w:rsid w:val="007163B0"/>
    <w:rsid w:val="0071646C"/>
    <w:rsid w:val="0071787A"/>
    <w:rsid w:val="00717D7C"/>
    <w:rsid w:val="007208E2"/>
    <w:rsid w:val="00721791"/>
    <w:rsid w:val="00722036"/>
    <w:rsid w:val="00722096"/>
    <w:rsid w:val="007225B2"/>
    <w:rsid w:val="00723184"/>
    <w:rsid w:val="007255C9"/>
    <w:rsid w:val="00725B3D"/>
    <w:rsid w:val="0072628C"/>
    <w:rsid w:val="00730764"/>
    <w:rsid w:val="00730939"/>
    <w:rsid w:val="00730F36"/>
    <w:rsid w:val="00731D20"/>
    <w:rsid w:val="00732027"/>
    <w:rsid w:val="0073295A"/>
    <w:rsid w:val="00733327"/>
    <w:rsid w:val="00733356"/>
    <w:rsid w:val="00734000"/>
    <w:rsid w:val="007356A7"/>
    <w:rsid w:val="00735EAB"/>
    <w:rsid w:val="00737642"/>
    <w:rsid w:val="00740755"/>
    <w:rsid w:val="00741820"/>
    <w:rsid w:val="00743547"/>
    <w:rsid w:val="00744A92"/>
    <w:rsid w:val="00744B86"/>
    <w:rsid w:val="00745DE3"/>
    <w:rsid w:val="007463F9"/>
    <w:rsid w:val="00746A8B"/>
    <w:rsid w:val="00746C85"/>
    <w:rsid w:val="0074770E"/>
    <w:rsid w:val="0075026A"/>
    <w:rsid w:val="007503BD"/>
    <w:rsid w:val="00751EF3"/>
    <w:rsid w:val="00753D15"/>
    <w:rsid w:val="00753D31"/>
    <w:rsid w:val="00753D8F"/>
    <w:rsid w:val="00754A3F"/>
    <w:rsid w:val="007554DE"/>
    <w:rsid w:val="007565E0"/>
    <w:rsid w:val="00756F02"/>
    <w:rsid w:val="007605A4"/>
    <w:rsid w:val="0076073B"/>
    <w:rsid w:val="00762761"/>
    <w:rsid w:val="00762F64"/>
    <w:rsid w:val="007631CB"/>
    <w:rsid w:val="00763371"/>
    <w:rsid w:val="0076377D"/>
    <w:rsid w:val="00763DDA"/>
    <w:rsid w:val="0076412D"/>
    <w:rsid w:val="00765CD4"/>
    <w:rsid w:val="00765DF9"/>
    <w:rsid w:val="007706B5"/>
    <w:rsid w:val="00770FEE"/>
    <w:rsid w:val="0077193C"/>
    <w:rsid w:val="007735F0"/>
    <w:rsid w:val="00773A06"/>
    <w:rsid w:val="00774626"/>
    <w:rsid w:val="0077488A"/>
    <w:rsid w:val="00774C8E"/>
    <w:rsid w:val="007758CC"/>
    <w:rsid w:val="00775A6B"/>
    <w:rsid w:val="00776A1A"/>
    <w:rsid w:val="00776BD3"/>
    <w:rsid w:val="00777619"/>
    <w:rsid w:val="00777883"/>
    <w:rsid w:val="00777898"/>
    <w:rsid w:val="0078036D"/>
    <w:rsid w:val="007805DC"/>
    <w:rsid w:val="00781430"/>
    <w:rsid w:val="00781539"/>
    <w:rsid w:val="00781ED0"/>
    <w:rsid w:val="00782452"/>
    <w:rsid w:val="00782CFA"/>
    <w:rsid w:val="00782FA6"/>
    <w:rsid w:val="00784035"/>
    <w:rsid w:val="007849E7"/>
    <w:rsid w:val="0078649A"/>
    <w:rsid w:val="00786D60"/>
    <w:rsid w:val="00787200"/>
    <w:rsid w:val="00790373"/>
    <w:rsid w:val="00790656"/>
    <w:rsid w:val="007914E1"/>
    <w:rsid w:val="00792D7C"/>
    <w:rsid w:val="00792E18"/>
    <w:rsid w:val="00792ECE"/>
    <w:rsid w:val="00793534"/>
    <w:rsid w:val="00793588"/>
    <w:rsid w:val="00794BE6"/>
    <w:rsid w:val="00795465"/>
    <w:rsid w:val="00795B6D"/>
    <w:rsid w:val="0079747D"/>
    <w:rsid w:val="00797F2B"/>
    <w:rsid w:val="007A023E"/>
    <w:rsid w:val="007A04F0"/>
    <w:rsid w:val="007A0FF7"/>
    <w:rsid w:val="007A2D33"/>
    <w:rsid w:val="007A4F6A"/>
    <w:rsid w:val="007A535C"/>
    <w:rsid w:val="007A6148"/>
    <w:rsid w:val="007A6B84"/>
    <w:rsid w:val="007A6E94"/>
    <w:rsid w:val="007A6F53"/>
    <w:rsid w:val="007A7184"/>
    <w:rsid w:val="007B00EF"/>
    <w:rsid w:val="007B0659"/>
    <w:rsid w:val="007B079C"/>
    <w:rsid w:val="007B0B48"/>
    <w:rsid w:val="007B0D75"/>
    <w:rsid w:val="007B114A"/>
    <w:rsid w:val="007B1155"/>
    <w:rsid w:val="007B13EC"/>
    <w:rsid w:val="007B1485"/>
    <w:rsid w:val="007B1889"/>
    <w:rsid w:val="007B230A"/>
    <w:rsid w:val="007B2792"/>
    <w:rsid w:val="007B295D"/>
    <w:rsid w:val="007B2CFC"/>
    <w:rsid w:val="007B2DBA"/>
    <w:rsid w:val="007B3060"/>
    <w:rsid w:val="007B3789"/>
    <w:rsid w:val="007B3B47"/>
    <w:rsid w:val="007B4C78"/>
    <w:rsid w:val="007B631F"/>
    <w:rsid w:val="007C0099"/>
    <w:rsid w:val="007C01D0"/>
    <w:rsid w:val="007C15D9"/>
    <w:rsid w:val="007C1D07"/>
    <w:rsid w:val="007C2716"/>
    <w:rsid w:val="007C2735"/>
    <w:rsid w:val="007C287D"/>
    <w:rsid w:val="007C33F7"/>
    <w:rsid w:val="007C3C0E"/>
    <w:rsid w:val="007C3E3F"/>
    <w:rsid w:val="007C4217"/>
    <w:rsid w:val="007C43C9"/>
    <w:rsid w:val="007C4550"/>
    <w:rsid w:val="007C4AFD"/>
    <w:rsid w:val="007C5CC1"/>
    <w:rsid w:val="007C6249"/>
    <w:rsid w:val="007C6DCD"/>
    <w:rsid w:val="007D01B9"/>
    <w:rsid w:val="007D044A"/>
    <w:rsid w:val="007D0579"/>
    <w:rsid w:val="007D0645"/>
    <w:rsid w:val="007D0C25"/>
    <w:rsid w:val="007D1976"/>
    <w:rsid w:val="007D26DA"/>
    <w:rsid w:val="007D32DA"/>
    <w:rsid w:val="007D3DCF"/>
    <w:rsid w:val="007D4738"/>
    <w:rsid w:val="007D4C00"/>
    <w:rsid w:val="007D4CCE"/>
    <w:rsid w:val="007D4D23"/>
    <w:rsid w:val="007D5FA4"/>
    <w:rsid w:val="007D6383"/>
    <w:rsid w:val="007D688F"/>
    <w:rsid w:val="007D7226"/>
    <w:rsid w:val="007D78AC"/>
    <w:rsid w:val="007E06C1"/>
    <w:rsid w:val="007E0A1B"/>
    <w:rsid w:val="007E0DC8"/>
    <w:rsid w:val="007E0F91"/>
    <w:rsid w:val="007E19A6"/>
    <w:rsid w:val="007E1A65"/>
    <w:rsid w:val="007E1E52"/>
    <w:rsid w:val="007E244E"/>
    <w:rsid w:val="007E2746"/>
    <w:rsid w:val="007E3D81"/>
    <w:rsid w:val="007E4EA9"/>
    <w:rsid w:val="007E4F3A"/>
    <w:rsid w:val="007E5625"/>
    <w:rsid w:val="007E625C"/>
    <w:rsid w:val="007E696B"/>
    <w:rsid w:val="007E726B"/>
    <w:rsid w:val="007E74DE"/>
    <w:rsid w:val="007E7974"/>
    <w:rsid w:val="007F0698"/>
    <w:rsid w:val="007F14BE"/>
    <w:rsid w:val="007F16A3"/>
    <w:rsid w:val="007F1D29"/>
    <w:rsid w:val="007F3104"/>
    <w:rsid w:val="007F381D"/>
    <w:rsid w:val="007F5A41"/>
    <w:rsid w:val="008007E9"/>
    <w:rsid w:val="008008C0"/>
    <w:rsid w:val="00801860"/>
    <w:rsid w:val="00801E0A"/>
    <w:rsid w:val="00802010"/>
    <w:rsid w:val="00803973"/>
    <w:rsid w:val="0080428C"/>
    <w:rsid w:val="00804C6F"/>
    <w:rsid w:val="00805552"/>
    <w:rsid w:val="00805882"/>
    <w:rsid w:val="00805D4E"/>
    <w:rsid w:val="00807FEC"/>
    <w:rsid w:val="008100BE"/>
    <w:rsid w:val="008110D8"/>
    <w:rsid w:val="008112A5"/>
    <w:rsid w:val="00811F82"/>
    <w:rsid w:val="00812832"/>
    <w:rsid w:val="008129B4"/>
    <w:rsid w:val="00813BF2"/>
    <w:rsid w:val="00813F6C"/>
    <w:rsid w:val="00814EE0"/>
    <w:rsid w:val="008205A1"/>
    <w:rsid w:val="00821D0B"/>
    <w:rsid w:val="00822123"/>
    <w:rsid w:val="00822142"/>
    <w:rsid w:val="0082240B"/>
    <w:rsid w:val="00823BB2"/>
    <w:rsid w:val="00823BFF"/>
    <w:rsid w:val="008240B8"/>
    <w:rsid w:val="008246AC"/>
    <w:rsid w:val="008249E8"/>
    <w:rsid w:val="00824A68"/>
    <w:rsid w:val="00825BA8"/>
    <w:rsid w:val="00825F9C"/>
    <w:rsid w:val="00830553"/>
    <w:rsid w:val="00830622"/>
    <w:rsid w:val="0083115F"/>
    <w:rsid w:val="00832099"/>
    <w:rsid w:val="008336E6"/>
    <w:rsid w:val="00834276"/>
    <w:rsid w:val="008351A6"/>
    <w:rsid w:val="0083538C"/>
    <w:rsid w:val="00835EB0"/>
    <w:rsid w:val="008374A8"/>
    <w:rsid w:val="008375D0"/>
    <w:rsid w:val="00837D65"/>
    <w:rsid w:val="00840F3E"/>
    <w:rsid w:val="00841A42"/>
    <w:rsid w:val="008428FA"/>
    <w:rsid w:val="008435B2"/>
    <w:rsid w:val="00843A4D"/>
    <w:rsid w:val="00843FA7"/>
    <w:rsid w:val="00844131"/>
    <w:rsid w:val="00844CDF"/>
    <w:rsid w:val="008457A1"/>
    <w:rsid w:val="008459FC"/>
    <w:rsid w:val="00845E19"/>
    <w:rsid w:val="00846275"/>
    <w:rsid w:val="0084685C"/>
    <w:rsid w:val="008472DF"/>
    <w:rsid w:val="00847CFE"/>
    <w:rsid w:val="00850300"/>
    <w:rsid w:val="00850706"/>
    <w:rsid w:val="00850DC3"/>
    <w:rsid w:val="00853BB3"/>
    <w:rsid w:val="0085429D"/>
    <w:rsid w:val="008543ED"/>
    <w:rsid w:val="008545FA"/>
    <w:rsid w:val="00854DDA"/>
    <w:rsid w:val="00855247"/>
    <w:rsid w:val="008560D9"/>
    <w:rsid w:val="008562B6"/>
    <w:rsid w:val="008565DF"/>
    <w:rsid w:val="008567EF"/>
    <w:rsid w:val="0085735A"/>
    <w:rsid w:val="00860FE0"/>
    <w:rsid w:val="00861BD6"/>
    <w:rsid w:val="00862145"/>
    <w:rsid w:val="008624CC"/>
    <w:rsid w:val="0086347C"/>
    <w:rsid w:val="00863604"/>
    <w:rsid w:val="00863CFE"/>
    <w:rsid w:val="00866077"/>
    <w:rsid w:val="00870880"/>
    <w:rsid w:val="00870D75"/>
    <w:rsid w:val="00872753"/>
    <w:rsid w:val="008729A6"/>
    <w:rsid w:val="008729CD"/>
    <w:rsid w:val="00872B02"/>
    <w:rsid w:val="0087344A"/>
    <w:rsid w:val="008737B8"/>
    <w:rsid w:val="0087417D"/>
    <w:rsid w:val="00874639"/>
    <w:rsid w:val="00875246"/>
    <w:rsid w:val="008759FB"/>
    <w:rsid w:val="00876728"/>
    <w:rsid w:val="00877649"/>
    <w:rsid w:val="0088120B"/>
    <w:rsid w:val="008814C0"/>
    <w:rsid w:val="00881AC3"/>
    <w:rsid w:val="0088278C"/>
    <w:rsid w:val="0088306A"/>
    <w:rsid w:val="0088337B"/>
    <w:rsid w:val="00883AFE"/>
    <w:rsid w:val="008845FC"/>
    <w:rsid w:val="008847DA"/>
    <w:rsid w:val="00886F35"/>
    <w:rsid w:val="008875DD"/>
    <w:rsid w:val="00890865"/>
    <w:rsid w:val="00890ECD"/>
    <w:rsid w:val="008945B1"/>
    <w:rsid w:val="008947B9"/>
    <w:rsid w:val="00895661"/>
    <w:rsid w:val="0089634B"/>
    <w:rsid w:val="00897ABA"/>
    <w:rsid w:val="008A00E0"/>
    <w:rsid w:val="008A03DC"/>
    <w:rsid w:val="008A0DD0"/>
    <w:rsid w:val="008A10C4"/>
    <w:rsid w:val="008A139D"/>
    <w:rsid w:val="008A1DB0"/>
    <w:rsid w:val="008A2B3D"/>
    <w:rsid w:val="008A2BB6"/>
    <w:rsid w:val="008A2C05"/>
    <w:rsid w:val="008A2E19"/>
    <w:rsid w:val="008A3D30"/>
    <w:rsid w:val="008A5B5F"/>
    <w:rsid w:val="008A6FC6"/>
    <w:rsid w:val="008A7B2B"/>
    <w:rsid w:val="008B0082"/>
    <w:rsid w:val="008B0A3A"/>
    <w:rsid w:val="008B0AD7"/>
    <w:rsid w:val="008B18E1"/>
    <w:rsid w:val="008B1FA0"/>
    <w:rsid w:val="008B3084"/>
    <w:rsid w:val="008B4160"/>
    <w:rsid w:val="008B4945"/>
    <w:rsid w:val="008B5AB7"/>
    <w:rsid w:val="008B6255"/>
    <w:rsid w:val="008B6689"/>
    <w:rsid w:val="008B681E"/>
    <w:rsid w:val="008B7393"/>
    <w:rsid w:val="008B74AD"/>
    <w:rsid w:val="008C0457"/>
    <w:rsid w:val="008C04C7"/>
    <w:rsid w:val="008C0DCA"/>
    <w:rsid w:val="008C1312"/>
    <w:rsid w:val="008C182F"/>
    <w:rsid w:val="008C2885"/>
    <w:rsid w:val="008C293C"/>
    <w:rsid w:val="008C5CAC"/>
    <w:rsid w:val="008C693C"/>
    <w:rsid w:val="008C780E"/>
    <w:rsid w:val="008D0121"/>
    <w:rsid w:val="008D2084"/>
    <w:rsid w:val="008D2F47"/>
    <w:rsid w:val="008D3052"/>
    <w:rsid w:val="008D3784"/>
    <w:rsid w:val="008D516F"/>
    <w:rsid w:val="008D55E5"/>
    <w:rsid w:val="008D5D2A"/>
    <w:rsid w:val="008D748F"/>
    <w:rsid w:val="008D7F66"/>
    <w:rsid w:val="008E0961"/>
    <w:rsid w:val="008E1298"/>
    <w:rsid w:val="008E1779"/>
    <w:rsid w:val="008E21DF"/>
    <w:rsid w:val="008E331B"/>
    <w:rsid w:val="008E4087"/>
    <w:rsid w:val="008E4CC5"/>
    <w:rsid w:val="008E6314"/>
    <w:rsid w:val="008E7DEB"/>
    <w:rsid w:val="008F023E"/>
    <w:rsid w:val="008F1E29"/>
    <w:rsid w:val="008F493A"/>
    <w:rsid w:val="008F4B7B"/>
    <w:rsid w:val="008F4EB3"/>
    <w:rsid w:val="008F4FA9"/>
    <w:rsid w:val="008F5E3E"/>
    <w:rsid w:val="008F5EE1"/>
    <w:rsid w:val="008F6834"/>
    <w:rsid w:val="008F7196"/>
    <w:rsid w:val="008F750A"/>
    <w:rsid w:val="008F76AB"/>
    <w:rsid w:val="009003F9"/>
    <w:rsid w:val="00900564"/>
    <w:rsid w:val="00900BFB"/>
    <w:rsid w:val="00900DD5"/>
    <w:rsid w:val="009017C2"/>
    <w:rsid w:val="00901EE4"/>
    <w:rsid w:val="009022B2"/>
    <w:rsid w:val="009078C3"/>
    <w:rsid w:val="009079D3"/>
    <w:rsid w:val="009100E7"/>
    <w:rsid w:val="0091069A"/>
    <w:rsid w:val="00910819"/>
    <w:rsid w:val="009117D5"/>
    <w:rsid w:val="0091228C"/>
    <w:rsid w:val="00912C35"/>
    <w:rsid w:val="00913A0F"/>
    <w:rsid w:val="009147A7"/>
    <w:rsid w:val="00915B91"/>
    <w:rsid w:val="0091689C"/>
    <w:rsid w:val="009172FA"/>
    <w:rsid w:val="00917B1C"/>
    <w:rsid w:val="009216F4"/>
    <w:rsid w:val="00921CE2"/>
    <w:rsid w:val="00922CEF"/>
    <w:rsid w:val="00922F82"/>
    <w:rsid w:val="009257B4"/>
    <w:rsid w:val="009258E8"/>
    <w:rsid w:val="00926638"/>
    <w:rsid w:val="00926764"/>
    <w:rsid w:val="009267CD"/>
    <w:rsid w:val="00927E29"/>
    <w:rsid w:val="009311D8"/>
    <w:rsid w:val="009313B1"/>
    <w:rsid w:val="00931ED5"/>
    <w:rsid w:val="00932D77"/>
    <w:rsid w:val="0093368D"/>
    <w:rsid w:val="009349F1"/>
    <w:rsid w:val="00934BF3"/>
    <w:rsid w:val="00937B3D"/>
    <w:rsid w:val="00940A57"/>
    <w:rsid w:val="00941041"/>
    <w:rsid w:val="00941BA1"/>
    <w:rsid w:val="00941E25"/>
    <w:rsid w:val="00942B9C"/>
    <w:rsid w:val="00942C5A"/>
    <w:rsid w:val="00943508"/>
    <w:rsid w:val="009437E6"/>
    <w:rsid w:val="009439BD"/>
    <w:rsid w:val="009444AF"/>
    <w:rsid w:val="00944B26"/>
    <w:rsid w:val="00945603"/>
    <w:rsid w:val="00946F15"/>
    <w:rsid w:val="00947AC9"/>
    <w:rsid w:val="00947D0E"/>
    <w:rsid w:val="00950325"/>
    <w:rsid w:val="00950621"/>
    <w:rsid w:val="00951064"/>
    <w:rsid w:val="00951563"/>
    <w:rsid w:val="00952A7B"/>
    <w:rsid w:val="00953389"/>
    <w:rsid w:val="009538ED"/>
    <w:rsid w:val="00954028"/>
    <w:rsid w:val="009542F0"/>
    <w:rsid w:val="00954649"/>
    <w:rsid w:val="009552B5"/>
    <w:rsid w:val="00956BD6"/>
    <w:rsid w:val="0096146C"/>
    <w:rsid w:val="009619ED"/>
    <w:rsid w:val="00962AFB"/>
    <w:rsid w:val="00964251"/>
    <w:rsid w:val="0096598C"/>
    <w:rsid w:val="00965D3E"/>
    <w:rsid w:val="00965D81"/>
    <w:rsid w:val="00966060"/>
    <w:rsid w:val="00967FA0"/>
    <w:rsid w:val="00972899"/>
    <w:rsid w:val="009731AD"/>
    <w:rsid w:val="00973213"/>
    <w:rsid w:val="0097623E"/>
    <w:rsid w:val="00976B9A"/>
    <w:rsid w:val="00980383"/>
    <w:rsid w:val="00980E0E"/>
    <w:rsid w:val="00980FD0"/>
    <w:rsid w:val="00982993"/>
    <w:rsid w:val="00982B5C"/>
    <w:rsid w:val="00983F77"/>
    <w:rsid w:val="009846BA"/>
    <w:rsid w:val="00986802"/>
    <w:rsid w:val="0098762E"/>
    <w:rsid w:val="00990323"/>
    <w:rsid w:val="00990496"/>
    <w:rsid w:val="00990714"/>
    <w:rsid w:val="009907A2"/>
    <w:rsid w:val="00991084"/>
    <w:rsid w:val="00991192"/>
    <w:rsid w:val="00991415"/>
    <w:rsid w:val="00992E38"/>
    <w:rsid w:val="009930B0"/>
    <w:rsid w:val="00993551"/>
    <w:rsid w:val="0099460A"/>
    <w:rsid w:val="009955CE"/>
    <w:rsid w:val="00995793"/>
    <w:rsid w:val="009A0E83"/>
    <w:rsid w:val="009A187F"/>
    <w:rsid w:val="009A35CC"/>
    <w:rsid w:val="009A3B29"/>
    <w:rsid w:val="009A46C3"/>
    <w:rsid w:val="009A4AB3"/>
    <w:rsid w:val="009A4AB8"/>
    <w:rsid w:val="009A51AB"/>
    <w:rsid w:val="009A5420"/>
    <w:rsid w:val="009A66A9"/>
    <w:rsid w:val="009A6F95"/>
    <w:rsid w:val="009A6FD2"/>
    <w:rsid w:val="009A7747"/>
    <w:rsid w:val="009A7A56"/>
    <w:rsid w:val="009B0FFE"/>
    <w:rsid w:val="009B1F84"/>
    <w:rsid w:val="009B2345"/>
    <w:rsid w:val="009B30E5"/>
    <w:rsid w:val="009B3B04"/>
    <w:rsid w:val="009B5BFD"/>
    <w:rsid w:val="009B5D59"/>
    <w:rsid w:val="009B633B"/>
    <w:rsid w:val="009B710F"/>
    <w:rsid w:val="009B72D9"/>
    <w:rsid w:val="009C1379"/>
    <w:rsid w:val="009C18CA"/>
    <w:rsid w:val="009C2641"/>
    <w:rsid w:val="009C3887"/>
    <w:rsid w:val="009C4429"/>
    <w:rsid w:val="009C467E"/>
    <w:rsid w:val="009C4E99"/>
    <w:rsid w:val="009C505B"/>
    <w:rsid w:val="009C7C96"/>
    <w:rsid w:val="009C7F84"/>
    <w:rsid w:val="009C7FFD"/>
    <w:rsid w:val="009D108C"/>
    <w:rsid w:val="009D1BBE"/>
    <w:rsid w:val="009D1F0C"/>
    <w:rsid w:val="009D22D6"/>
    <w:rsid w:val="009D30F3"/>
    <w:rsid w:val="009D46ED"/>
    <w:rsid w:val="009D4A92"/>
    <w:rsid w:val="009D4F04"/>
    <w:rsid w:val="009D55A5"/>
    <w:rsid w:val="009D585B"/>
    <w:rsid w:val="009D5ACF"/>
    <w:rsid w:val="009D5B0C"/>
    <w:rsid w:val="009E0CF0"/>
    <w:rsid w:val="009E229C"/>
    <w:rsid w:val="009E242F"/>
    <w:rsid w:val="009E248B"/>
    <w:rsid w:val="009E2A48"/>
    <w:rsid w:val="009E2A86"/>
    <w:rsid w:val="009E36DA"/>
    <w:rsid w:val="009E4C8D"/>
    <w:rsid w:val="009E58E3"/>
    <w:rsid w:val="009E5AE7"/>
    <w:rsid w:val="009E63F2"/>
    <w:rsid w:val="009E6534"/>
    <w:rsid w:val="009F0C91"/>
    <w:rsid w:val="009F1532"/>
    <w:rsid w:val="009F1694"/>
    <w:rsid w:val="009F1DA6"/>
    <w:rsid w:val="009F1DDC"/>
    <w:rsid w:val="009F2805"/>
    <w:rsid w:val="009F29F1"/>
    <w:rsid w:val="009F338C"/>
    <w:rsid w:val="009F34A6"/>
    <w:rsid w:val="009F38A2"/>
    <w:rsid w:val="009F38E2"/>
    <w:rsid w:val="009F39D0"/>
    <w:rsid w:val="009F495D"/>
    <w:rsid w:val="009F5195"/>
    <w:rsid w:val="009F7826"/>
    <w:rsid w:val="009F7991"/>
    <w:rsid w:val="009F7DAD"/>
    <w:rsid w:val="00A005E0"/>
    <w:rsid w:val="00A0122A"/>
    <w:rsid w:val="00A022BE"/>
    <w:rsid w:val="00A0265D"/>
    <w:rsid w:val="00A02988"/>
    <w:rsid w:val="00A02C07"/>
    <w:rsid w:val="00A02E33"/>
    <w:rsid w:val="00A03262"/>
    <w:rsid w:val="00A03715"/>
    <w:rsid w:val="00A04885"/>
    <w:rsid w:val="00A04C28"/>
    <w:rsid w:val="00A059DA"/>
    <w:rsid w:val="00A05CB7"/>
    <w:rsid w:val="00A06024"/>
    <w:rsid w:val="00A066C9"/>
    <w:rsid w:val="00A07A7D"/>
    <w:rsid w:val="00A10F45"/>
    <w:rsid w:val="00A11A4C"/>
    <w:rsid w:val="00A11C86"/>
    <w:rsid w:val="00A1322E"/>
    <w:rsid w:val="00A133F1"/>
    <w:rsid w:val="00A13BE7"/>
    <w:rsid w:val="00A13DCC"/>
    <w:rsid w:val="00A140DD"/>
    <w:rsid w:val="00A15310"/>
    <w:rsid w:val="00A16590"/>
    <w:rsid w:val="00A169A8"/>
    <w:rsid w:val="00A16A6D"/>
    <w:rsid w:val="00A16C8E"/>
    <w:rsid w:val="00A205DC"/>
    <w:rsid w:val="00A20B0A"/>
    <w:rsid w:val="00A23B6D"/>
    <w:rsid w:val="00A24393"/>
    <w:rsid w:val="00A2542A"/>
    <w:rsid w:val="00A257C0"/>
    <w:rsid w:val="00A26EFD"/>
    <w:rsid w:val="00A2723D"/>
    <w:rsid w:val="00A272D9"/>
    <w:rsid w:val="00A27699"/>
    <w:rsid w:val="00A27E64"/>
    <w:rsid w:val="00A302BA"/>
    <w:rsid w:val="00A30C61"/>
    <w:rsid w:val="00A313B9"/>
    <w:rsid w:val="00A31758"/>
    <w:rsid w:val="00A31B15"/>
    <w:rsid w:val="00A32184"/>
    <w:rsid w:val="00A326BF"/>
    <w:rsid w:val="00A32EDB"/>
    <w:rsid w:val="00A33F98"/>
    <w:rsid w:val="00A3423F"/>
    <w:rsid w:val="00A34D40"/>
    <w:rsid w:val="00A364C7"/>
    <w:rsid w:val="00A367D7"/>
    <w:rsid w:val="00A36AEE"/>
    <w:rsid w:val="00A402EF"/>
    <w:rsid w:val="00A40862"/>
    <w:rsid w:val="00A4202F"/>
    <w:rsid w:val="00A43D20"/>
    <w:rsid w:val="00A45351"/>
    <w:rsid w:val="00A45CB5"/>
    <w:rsid w:val="00A45E25"/>
    <w:rsid w:val="00A46E41"/>
    <w:rsid w:val="00A47A65"/>
    <w:rsid w:val="00A5132D"/>
    <w:rsid w:val="00A52661"/>
    <w:rsid w:val="00A52E5E"/>
    <w:rsid w:val="00A52E88"/>
    <w:rsid w:val="00A53124"/>
    <w:rsid w:val="00A543A8"/>
    <w:rsid w:val="00A54592"/>
    <w:rsid w:val="00A54826"/>
    <w:rsid w:val="00A54D4C"/>
    <w:rsid w:val="00A5682F"/>
    <w:rsid w:val="00A606F2"/>
    <w:rsid w:val="00A60834"/>
    <w:rsid w:val="00A612DF"/>
    <w:rsid w:val="00A61449"/>
    <w:rsid w:val="00A6166E"/>
    <w:rsid w:val="00A61FA0"/>
    <w:rsid w:val="00A63B75"/>
    <w:rsid w:val="00A65ADC"/>
    <w:rsid w:val="00A65E33"/>
    <w:rsid w:val="00A66B9D"/>
    <w:rsid w:val="00A70457"/>
    <w:rsid w:val="00A7130A"/>
    <w:rsid w:val="00A71496"/>
    <w:rsid w:val="00A71818"/>
    <w:rsid w:val="00A724C2"/>
    <w:rsid w:val="00A72AE2"/>
    <w:rsid w:val="00A7349B"/>
    <w:rsid w:val="00A737DF"/>
    <w:rsid w:val="00A73E5B"/>
    <w:rsid w:val="00A74A7A"/>
    <w:rsid w:val="00A80384"/>
    <w:rsid w:val="00A8050F"/>
    <w:rsid w:val="00A80B29"/>
    <w:rsid w:val="00A817AC"/>
    <w:rsid w:val="00A817E8"/>
    <w:rsid w:val="00A81B5F"/>
    <w:rsid w:val="00A82221"/>
    <w:rsid w:val="00A82854"/>
    <w:rsid w:val="00A828CF"/>
    <w:rsid w:val="00A82F84"/>
    <w:rsid w:val="00A8374E"/>
    <w:rsid w:val="00A84344"/>
    <w:rsid w:val="00A84899"/>
    <w:rsid w:val="00A84A37"/>
    <w:rsid w:val="00A85EBE"/>
    <w:rsid w:val="00A86198"/>
    <w:rsid w:val="00A86EB6"/>
    <w:rsid w:val="00A87525"/>
    <w:rsid w:val="00A87B48"/>
    <w:rsid w:val="00A90520"/>
    <w:rsid w:val="00A90913"/>
    <w:rsid w:val="00A924F0"/>
    <w:rsid w:val="00A9264E"/>
    <w:rsid w:val="00A92DA6"/>
    <w:rsid w:val="00A94DEF"/>
    <w:rsid w:val="00A95376"/>
    <w:rsid w:val="00A95720"/>
    <w:rsid w:val="00A959D8"/>
    <w:rsid w:val="00A960B2"/>
    <w:rsid w:val="00A9709C"/>
    <w:rsid w:val="00A971E6"/>
    <w:rsid w:val="00AA0338"/>
    <w:rsid w:val="00AA07B7"/>
    <w:rsid w:val="00AA0E13"/>
    <w:rsid w:val="00AA1FB1"/>
    <w:rsid w:val="00AA30A1"/>
    <w:rsid w:val="00AA37C1"/>
    <w:rsid w:val="00AA3F0E"/>
    <w:rsid w:val="00AA5BA5"/>
    <w:rsid w:val="00AA6387"/>
    <w:rsid w:val="00AA6492"/>
    <w:rsid w:val="00AB2E1F"/>
    <w:rsid w:val="00AB3B69"/>
    <w:rsid w:val="00AB3F03"/>
    <w:rsid w:val="00AB4041"/>
    <w:rsid w:val="00AB414A"/>
    <w:rsid w:val="00AB4223"/>
    <w:rsid w:val="00AB627D"/>
    <w:rsid w:val="00AB650A"/>
    <w:rsid w:val="00AB7084"/>
    <w:rsid w:val="00AB7470"/>
    <w:rsid w:val="00AC1ACF"/>
    <w:rsid w:val="00AC1C90"/>
    <w:rsid w:val="00AC247A"/>
    <w:rsid w:val="00AC2C68"/>
    <w:rsid w:val="00AC35B7"/>
    <w:rsid w:val="00AC36CA"/>
    <w:rsid w:val="00AC3FC6"/>
    <w:rsid w:val="00AC621A"/>
    <w:rsid w:val="00AC6C00"/>
    <w:rsid w:val="00AC6E27"/>
    <w:rsid w:val="00AC7D47"/>
    <w:rsid w:val="00AD01AC"/>
    <w:rsid w:val="00AD05FC"/>
    <w:rsid w:val="00AD257D"/>
    <w:rsid w:val="00AD2989"/>
    <w:rsid w:val="00AD2D05"/>
    <w:rsid w:val="00AD2EA5"/>
    <w:rsid w:val="00AD40E6"/>
    <w:rsid w:val="00AD4735"/>
    <w:rsid w:val="00AD6294"/>
    <w:rsid w:val="00AD6841"/>
    <w:rsid w:val="00AD68CE"/>
    <w:rsid w:val="00AD6F28"/>
    <w:rsid w:val="00AD740B"/>
    <w:rsid w:val="00AD7C0A"/>
    <w:rsid w:val="00AD7C40"/>
    <w:rsid w:val="00AD7DBA"/>
    <w:rsid w:val="00AD7FA3"/>
    <w:rsid w:val="00AD7FED"/>
    <w:rsid w:val="00AE00B4"/>
    <w:rsid w:val="00AE018C"/>
    <w:rsid w:val="00AE0969"/>
    <w:rsid w:val="00AE0E82"/>
    <w:rsid w:val="00AE1CB5"/>
    <w:rsid w:val="00AE24B0"/>
    <w:rsid w:val="00AE2FCA"/>
    <w:rsid w:val="00AE366C"/>
    <w:rsid w:val="00AE4534"/>
    <w:rsid w:val="00AE534F"/>
    <w:rsid w:val="00AE580D"/>
    <w:rsid w:val="00AE5D98"/>
    <w:rsid w:val="00AE6CDF"/>
    <w:rsid w:val="00AE6DEC"/>
    <w:rsid w:val="00AE70E9"/>
    <w:rsid w:val="00AE7282"/>
    <w:rsid w:val="00AF1225"/>
    <w:rsid w:val="00AF154C"/>
    <w:rsid w:val="00AF191A"/>
    <w:rsid w:val="00AF1FB2"/>
    <w:rsid w:val="00AF36AF"/>
    <w:rsid w:val="00AF4398"/>
    <w:rsid w:val="00AF4D54"/>
    <w:rsid w:val="00AF504D"/>
    <w:rsid w:val="00AF6520"/>
    <w:rsid w:val="00AF6E0A"/>
    <w:rsid w:val="00AF724C"/>
    <w:rsid w:val="00AF7A5B"/>
    <w:rsid w:val="00B00904"/>
    <w:rsid w:val="00B0151B"/>
    <w:rsid w:val="00B01A73"/>
    <w:rsid w:val="00B03347"/>
    <w:rsid w:val="00B04327"/>
    <w:rsid w:val="00B04A47"/>
    <w:rsid w:val="00B04AE0"/>
    <w:rsid w:val="00B04C76"/>
    <w:rsid w:val="00B04E7F"/>
    <w:rsid w:val="00B0562B"/>
    <w:rsid w:val="00B066B9"/>
    <w:rsid w:val="00B06B82"/>
    <w:rsid w:val="00B07624"/>
    <w:rsid w:val="00B07785"/>
    <w:rsid w:val="00B07BBD"/>
    <w:rsid w:val="00B1025B"/>
    <w:rsid w:val="00B102C8"/>
    <w:rsid w:val="00B11064"/>
    <w:rsid w:val="00B1113B"/>
    <w:rsid w:val="00B13097"/>
    <w:rsid w:val="00B130DD"/>
    <w:rsid w:val="00B133BC"/>
    <w:rsid w:val="00B13DCB"/>
    <w:rsid w:val="00B155C8"/>
    <w:rsid w:val="00B158A1"/>
    <w:rsid w:val="00B15D0F"/>
    <w:rsid w:val="00B160C5"/>
    <w:rsid w:val="00B171D5"/>
    <w:rsid w:val="00B206EB"/>
    <w:rsid w:val="00B2169F"/>
    <w:rsid w:val="00B21D46"/>
    <w:rsid w:val="00B229A3"/>
    <w:rsid w:val="00B22F56"/>
    <w:rsid w:val="00B232CC"/>
    <w:rsid w:val="00B2348B"/>
    <w:rsid w:val="00B234E2"/>
    <w:rsid w:val="00B23982"/>
    <w:rsid w:val="00B267E8"/>
    <w:rsid w:val="00B26DD0"/>
    <w:rsid w:val="00B27F63"/>
    <w:rsid w:val="00B30A28"/>
    <w:rsid w:val="00B3193A"/>
    <w:rsid w:val="00B3194A"/>
    <w:rsid w:val="00B31D05"/>
    <w:rsid w:val="00B32384"/>
    <w:rsid w:val="00B3272F"/>
    <w:rsid w:val="00B328A2"/>
    <w:rsid w:val="00B33918"/>
    <w:rsid w:val="00B341A4"/>
    <w:rsid w:val="00B3665E"/>
    <w:rsid w:val="00B36A8F"/>
    <w:rsid w:val="00B37CCF"/>
    <w:rsid w:val="00B40ED3"/>
    <w:rsid w:val="00B415BD"/>
    <w:rsid w:val="00B42213"/>
    <w:rsid w:val="00B423CC"/>
    <w:rsid w:val="00B43346"/>
    <w:rsid w:val="00B43D88"/>
    <w:rsid w:val="00B446AA"/>
    <w:rsid w:val="00B4505C"/>
    <w:rsid w:val="00B456CE"/>
    <w:rsid w:val="00B457FA"/>
    <w:rsid w:val="00B45A5A"/>
    <w:rsid w:val="00B46342"/>
    <w:rsid w:val="00B46396"/>
    <w:rsid w:val="00B50054"/>
    <w:rsid w:val="00B50296"/>
    <w:rsid w:val="00B50B58"/>
    <w:rsid w:val="00B50CC9"/>
    <w:rsid w:val="00B51E20"/>
    <w:rsid w:val="00B52C98"/>
    <w:rsid w:val="00B53397"/>
    <w:rsid w:val="00B53DAB"/>
    <w:rsid w:val="00B5436A"/>
    <w:rsid w:val="00B54F35"/>
    <w:rsid w:val="00B54F46"/>
    <w:rsid w:val="00B561A8"/>
    <w:rsid w:val="00B5730A"/>
    <w:rsid w:val="00B57F4D"/>
    <w:rsid w:val="00B605D5"/>
    <w:rsid w:val="00B606D9"/>
    <w:rsid w:val="00B61126"/>
    <w:rsid w:val="00B61207"/>
    <w:rsid w:val="00B6288E"/>
    <w:rsid w:val="00B6358A"/>
    <w:rsid w:val="00B63935"/>
    <w:rsid w:val="00B63C05"/>
    <w:rsid w:val="00B640F7"/>
    <w:rsid w:val="00B64A37"/>
    <w:rsid w:val="00B65608"/>
    <w:rsid w:val="00B65DED"/>
    <w:rsid w:val="00B67064"/>
    <w:rsid w:val="00B67733"/>
    <w:rsid w:val="00B70E5F"/>
    <w:rsid w:val="00B71088"/>
    <w:rsid w:val="00B71631"/>
    <w:rsid w:val="00B722D9"/>
    <w:rsid w:val="00B72968"/>
    <w:rsid w:val="00B730B2"/>
    <w:rsid w:val="00B74167"/>
    <w:rsid w:val="00B749F8"/>
    <w:rsid w:val="00B74CA8"/>
    <w:rsid w:val="00B76997"/>
    <w:rsid w:val="00B80993"/>
    <w:rsid w:val="00B80AC9"/>
    <w:rsid w:val="00B828FB"/>
    <w:rsid w:val="00B82D93"/>
    <w:rsid w:val="00B83D31"/>
    <w:rsid w:val="00B83F49"/>
    <w:rsid w:val="00B85B95"/>
    <w:rsid w:val="00B90F5F"/>
    <w:rsid w:val="00B911AD"/>
    <w:rsid w:val="00B9154C"/>
    <w:rsid w:val="00B92631"/>
    <w:rsid w:val="00B931AA"/>
    <w:rsid w:val="00B9416B"/>
    <w:rsid w:val="00B94291"/>
    <w:rsid w:val="00B94487"/>
    <w:rsid w:val="00B950D9"/>
    <w:rsid w:val="00B96BBF"/>
    <w:rsid w:val="00B96F50"/>
    <w:rsid w:val="00B970C6"/>
    <w:rsid w:val="00B9715B"/>
    <w:rsid w:val="00BA1990"/>
    <w:rsid w:val="00BA38D3"/>
    <w:rsid w:val="00BA3985"/>
    <w:rsid w:val="00BA3B97"/>
    <w:rsid w:val="00BA3EBA"/>
    <w:rsid w:val="00BA51B3"/>
    <w:rsid w:val="00BA5771"/>
    <w:rsid w:val="00BA6529"/>
    <w:rsid w:val="00BA75F1"/>
    <w:rsid w:val="00BA766C"/>
    <w:rsid w:val="00BB0658"/>
    <w:rsid w:val="00BB1060"/>
    <w:rsid w:val="00BB248F"/>
    <w:rsid w:val="00BB26F9"/>
    <w:rsid w:val="00BB3184"/>
    <w:rsid w:val="00BB31E0"/>
    <w:rsid w:val="00BB35C1"/>
    <w:rsid w:val="00BB389B"/>
    <w:rsid w:val="00BB3E03"/>
    <w:rsid w:val="00BB4100"/>
    <w:rsid w:val="00BB44C0"/>
    <w:rsid w:val="00BB4BFC"/>
    <w:rsid w:val="00BB5B74"/>
    <w:rsid w:val="00BB7070"/>
    <w:rsid w:val="00BB74A6"/>
    <w:rsid w:val="00BB77F9"/>
    <w:rsid w:val="00BB7927"/>
    <w:rsid w:val="00BC0310"/>
    <w:rsid w:val="00BC0EB6"/>
    <w:rsid w:val="00BC15B7"/>
    <w:rsid w:val="00BC1ACF"/>
    <w:rsid w:val="00BC2581"/>
    <w:rsid w:val="00BC2A62"/>
    <w:rsid w:val="00BC40E7"/>
    <w:rsid w:val="00BC4CC9"/>
    <w:rsid w:val="00BC4DA8"/>
    <w:rsid w:val="00BD0057"/>
    <w:rsid w:val="00BD03A6"/>
    <w:rsid w:val="00BD03F2"/>
    <w:rsid w:val="00BD0AB5"/>
    <w:rsid w:val="00BD17E8"/>
    <w:rsid w:val="00BD1D55"/>
    <w:rsid w:val="00BD2459"/>
    <w:rsid w:val="00BD2D53"/>
    <w:rsid w:val="00BD2FD3"/>
    <w:rsid w:val="00BD32AD"/>
    <w:rsid w:val="00BD34B6"/>
    <w:rsid w:val="00BD34EA"/>
    <w:rsid w:val="00BD45A1"/>
    <w:rsid w:val="00BD4619"/>
    <w:rsid w:val="00BD5494"/>
    <w:rsid w:val="00BD55DF"/>
    <w:rsid w:val="00BD6748"/>
    <w:rsid w:val="00BD74EA"/>
    <w:rsid w:val="00BD7579"/>
    <w:rsid w:val="00BD7A17"/>
    <w:rsid w:val="00BE01DD"/>
    <w:rsid w:val="00BE15AC"/>
    <w:rsid w:val="00BE1B91"/>
    <w:rsid w:val="00BE2097"/>
    <w:rsid w:val="00BE3120"/>
    <w:rsid w:val="00BE35B5"/>
    <w:rsid w:val="00BE41EA"/>
    <w:rsid w:val="00BE6CC2"/>
    <w:rsid w:val="00BE6F2E"/>
    <w:rsid w:val="00BE7078"/>
    <w:rsid w:val="00BF0583"/>
    <w:rsid w:val="00BF08CB"/>
    <w:rsid w:val="00BF2BD1"/>
    <w:rsid w:val="00BF398F"/>
    <w:rsid w:val="00BF454F"/>
    <w:rsid w:val="00BF5944"/>
    <w:rsid w:val="00BF6321"/>
    <w:rsid w:val="00BF745C"/>
    <w:rsid w:val="00BF763E"/>
    <w:rsid w:val="00BF7CC5"/>
    <w:rsid w:val="00C01A51"/>
    <w:rsid w:val="00C01B6F"/>
    <w:rsid w:val="00C023FA"/>
    <w:rsid w:val="00C02914"/>
    <w:rsid w:val="00C0357F"/>
    <w:rsid w:val="00C037B9"/>
    <w:rsid w:val="00C04C5E"/>
    <w:rsid w:val="00C04E0C"/>
    <w:rsid w:val="00C04EB3"/>
    <w:rsid w:val="00C059A7"/>
    <w:rsid w:val="00C05BA9"/>
    <w:rsid w:val="00C061BA"/>
    <w:rsid w:val="00C07E0A"/>
    <w:rsid w:val="00C102F9"/>
    <w:rsid w:val="00C10E35"/>
    <w:rsid w:val="00C11BF2"/>
    <w:rsid w:val="00C11D0E"/>
    <w:rsid w:val="00C1214F"/>
    <w:rsid w:val="00C12AC4"/>
    <w:rsid w:val="00C12EFF"/>
    <w:rsid w:val="00C13D0F"/>
    <w:rsid w:val="00C13E31"/>
    <w:rsid w:val="00C16578"/>
    <w:rsid w:val="00C17725"/>
    <w:rsid w:val="00C17C63"/>
    <w:rsid w:val="00C20F35"/>
    <w:rsid w:val="00C21220"/>
    <w:rsid w:val="00C219E7"/>
    <w:rsid w:val="00C224D1"/>
    <w:rsid w:val="00C23B3A"/>
    <w:rsid w:val="00C2459E"/>
    <w:rsid w:val="00C24C2F"/>
    <w:rsid w:val="00C251B7"/>
    <w:rsid w:val="00C2614D"/>
    <w:rsid w:val="00C26C3A"/>
    <w:rsid w:val="00C27B24"/>
    <w:rsid w:val="00C30A80"/>
    <w:rsid w:val="00C314B2"/>
    <w:rsid w:val="00C3203E"/>
    <w:rsid w:val="00C327FA"/>
    <w:rsid w:val="00C32BC0"/>
    <w:rsid w:val="00C33A2D"/>
    <w:rsid w:val="00C347E3"/>
    <w:rsid w:val="00C34C64"/>
    <w:rsid w:val="00C36216"/>
    <w:rsid w:val="00C3651F"/>
    <w:rsid w:val="00C36705"/>
    <w:rsid w:val="00C37A81"/>
    <w:rsid w:val="00C40278"/>
    <w:rsid w:val="00C40740"/>
    <w:rsid w:val="00C4086D"/>
    <w:rsid w:val="00C40B06"/>
    <w:rsid w:val="00C40FF4"/>
    <w:rsid w:val="00C42BA2"/>
    <w:rsid w:val="00C42E4C"/>
    <w:rsid w:val="00C436D8"/>
    <w:rsid w:val="00C43BE1"/>
    <w:rsid w:val="00C44693"/>
    <w:rsid w:val="00C45D77"/>
    <w:rsid w:val="00C460F6"/>
    <w:rsid w:val="00C461AC"/>
    <w:rsid w:val="00C4715D"/>
    <w:rsid w:val="00C50B84"/>
    <w:rsid w:val="00C50F90"/>
    <w:rsid w:val="00C52CBC"/>
    <w:rsid w:val="00C548DE"/>
    <w:rsid w:val="00C54A79"/>
    <w:rsid w:val="00C560B0"/>
    <w:rsid w:val="00C60091"/>
    <w:rsid w:val="00C60359"/>
    <w:rsid w:val="00C608B9"/>
    <w:rsid w:val="00C60A5C"/>
    <w:rsid w:val="00C616EB"/>
    <w:rsid w:val="00C61BFD"/>
    <w:rsid w:val="00C62852"/>
    <w:rsid w:val="00C62ABE"/>
    <w:rsid w:val="00C62C7F"/>
    <w:rsid w:val="00C63331"/>
    <w:rsid w:val="00C63F87"/>
    <w:rsid w:val="00C641B5"/>
    <w:rsid w:val="00C642CC"/>
    <w:rsid w:val="00C64944"/>
    <w:rsid w:val="00C64BE4"/>
    <w:rsid w:val="00C65A6D"/>
    <w:rsid w:val="00C66C86"/>
    <w:rsid w:val="00C67CD7"/>
    <w:rsid w:val="00C70579"/>
    <w:rsid w:val="00C712D7"/>
    <w:rsid w:val="00C71893"/>
    <w:rsid w:val="00C7191E"/>
    <w:rsid w:val="00C719D9"/>
    <w:rsid w:val="00C7200F"/>
    <w:rsid w:val="00C72544"/>
    <w:rsid w:val="00C73FEC"/>
    <w:rsid w:val="00C75275"/>
    <w:rsid w:val="00C764E6"/>
    <w:rsid w:val="00C766BB"/>
    <w:rsid w:val="00C7716A"/>
    <w:rsid w:val="00C776EA"/>
    <w:rsid w:val="00C7785F"/>
    <w:rsid w:val="00C77B4B"/>
    <w:rsid w:val="00C8057C"/>
    <w:rsid w:val="00C80B2D"/>
    <w:rsid w:val="00C80D5B"/>
    <w:rsid w:val="00C80ED0"/>
    <w:rsid w:val="00C81226"/>
    <w:rsid w:val="00C8130C"/>
    <w:rsid w:val="00C82B1D"/>
    <w:rsid w:val="00C83D0E"/>
    <w:rsid w:val="00C83FD7"/>
    <w:rsid w:val="00C84AEE"/>
    <w:rsid w:val="00C85C91"/>
    <w:rsid w:val="00C85E64"/>
    <w:rsid w:val="00C86406"/>
    <w:rsid w:val="00C866D3"/>
    <w:rsid w:val="00C86854"/>
    <w:rsid w:val="00C91C41"/>
    <w:rsid w:val="00C922DE"/>
    <w:rsid w:val="00C924AC"/>
    <w:rsid w:val="00C92693"/>
    <w:rsid w:val="00C93E37"/>
    <w:rsid w:val="00C940F0"/>
    <w:rsid w:val="00C94767"/>
    <w:rsid w:val="00C94784"/>
    <w:rsid w:val="00C94EEA"/>
    <w:rsid w:val="00C95555"/>
    <w:rsid w:val="00C958EB"/>
    <w:rsid w:val="00C95E58"/>
    <w:rsid w:val="00C96A58"/>
    <w:rsid w:val="00C97F34"/>
    <w:rsid w:val="00CA071B"/>
    <w:rsid w:val="00CA1E5F"/>
    <w:rsid w:val="00CA28F5"/>
    <w:rsid w:val="00CA34E2"/>
    <w:rsid w:val="00CA4860"/>
    <w:rsid w:val="00CA5052"/>
    <w:rsid w:val="00CA54CA"/>
    <w:rsid w:val="00CA5D13"/>
    <w:rsid w:val="00CA613B"/>
    <w:rsid w:val="00CA6880"/>
    <w:rsid w:val="00CA7AF4"/>
    <w:rsid w:val="00CB0F00"/>
    <w:rsid w:val="00CB1113"/>
    <w:rsid w:val="00CB1B13"/>
    <w:rsid w:val="00CB226B"/>
    <w:rsid w:val="00CB3DEC"/>
    <w:rsid w:val="00CB552A"/>
    <w:rsid w:val="00CB5B5E"/>
    <w:rsid w:val="00CB6046"/>
    <w:rsid w:val="00CB6186"/>
    <w:rsid w:val="00CB6532"/>
    <w:rsid w:val="00CB7241"/>
    <w:rsid w:val="00CB7AD0"/>
    <w:rsid w:val="00CB7DD1"/>
    <w:rsid w:val="00CC0117"/>
    <w:rsid w:val="00CC06BF"/>
    <w:rsid w:val="00CC0EF2"/>
    <w:rsid w:val="00CC1099"/>
    <w:rsid w:val="00CC1360"/>
    <w:rsid w:val="00CC1FD0"/>
    <w:rsid w:val="00CC2515"/>
    <w:rsid w:val="00CC26B5"/>
    <w:rsid w:val="00CC4A43"/>
    <w:rsid w:val="00CC4A6B"/>
    <w:rsid w:val="00CC52EA"/>
    <w:rsid w:val="00CC6703"/>
    <w:rsid w:val="00CD138B"/>
    <w:rsid w:val="00CD218A"/>
    <w:rsid w:val="00CD2333"/>
    <w:rsid w:val="00CD388F"/>
    <w:rsid w:val="00CD3AB0"/>
    <w:rsid w:val="00CD5CE4"/>
    <w:rsid w:val="00CD692F"/>
    <w:rsid w:val="00CD6AF4"/>
    <w:rsid w:val="00CD6C2D"/>
    <w:rsid w:val="00CE07CC"/>
    <w:rsid w:val="00CE0F4A"/>
    <w:rsid w:val="00CE1B93"/>
    <w:rsid w:val="00CE1E7A"/>
    <w:rsid w:val="00CE46D5"/>
    <w:rsid w:val="00CE4D93"/>
    <w:rsid w:val="00CE6133"/>
    <w:rsid w:val="00CE6B2F"/>
    <w:rsid w:val="00CE7202"/>
    <w:rsid w:val="00CE79E6"/>
    <w:rsid w:val="00CF05A8"/>
    <w:rsid w:val="00CF0947"/>
    <w:rsid w:val="00CF0BB2"/>
    <w:rsid w:val="00CF1A00"/>
    <w:rsid w:val="00CF2A89"/>
    <w:rsid w:val="00CF3DE2"/>
    <w:rsid w:val="00CF4F1F"/>
    <w:rsid w:val="00CF52C4"/>
    <w:rsid w:val="00CF66FA"/>
    <w:rsid w:val="00CF6E7C"/>
    <w:rsid w:val="00CF743F"/>
    <w:rsid w:val="00CF7F1A"/>
    <w:rsid w:val="00D00636"/>
    <w:rsid w:val="00D00637"/>
    <w:rsid w:val="00D01E6A"/>
    <w:rsid w:val="00D020B0"/>
    <w:rsid w:val="00D0282D"/>
    <w:rsid w:val="00D038E5"/>
    <w:rsid w:val="00D043F0"/>
    <w:rsid w:val="00D04B1A"/>
    <w:rsid w:val="00D04B29"/>
    <w:rsid w:val="00D0541A"/>
    <w:rsid w:val="00D057FB"/>
    <w:rsid w:val="00D05B2E"/>
    <w:rsid w:val="00D05F01"/>
    <w:rsid w:val="00D10310"/>
    <w:rsid w:val="00D10C2D"/>
    <w:rsid w:val="00D110AD"/>
    <w:rsid w:val="00D11596"/>
    <w:rsid w:val="00D11ADB"/>
    <w:rsid w:val="00D12D8B"/>
    <w:rsid w:val="00D12E45"/>
    <w:rsid w:val="00D14224"/>
    <w:rsid w:val="00D1476F"/>
    <w:rsid w:val="00D148C8"/>
    <w:rsid w:val="00D14FB6"/>
    <w:rsid w:val="00D154FB"/>
    <w:rsid w:val="00D15521"/>
    <w:rsid w:val="00D16747"/>
    <w:rsid w:val="00D16A14"/>
    <w:rsid w:val="00D1702F"/>
    <w:rsid w:val="00D20506"/>
    <w:rsid w:val="00D21D3E"/>
    <w:rsid w:val="00D22497"/>
    <w:rsid w:val="00D230C3"/>
    <w:rsid w:val="00D23207"/>
    <w:rsid w:val="00D2342C"/>
    <w:rsid w:val="00D252E1"/>
    <w:rsid w:val="00D25ADE"/>
    <w:rsid w:val="00D26676"/>
    <w:rsid w:val="00D27136"/>
    <w:rsid w:val="00D27E03"/>
    <w:rsid w:val="00D30A75"/>
    <w:rsid w:val="00D30EFF"/>
    <w:rsid w:val="00D32074"/>
    <w:rsid w:val="00D32A17"/>
    <w:rsid w:val="00D35312"/>
    <w:rsid w:val="00D36344"/>
    <w:rsid w:val="00D36CCF"/>
    <w:rsid w:val="00D3713A"/>
    <w:rsid w:val="00D37500"/>
    <w:rsid w:val="00D37994"/>
    <w:rsid w:val="00D405FA"/>
    <w:rsid w:val="00D406A0"/>
    <w:rsid w:val="00D406B5"/>
    <w:rsid w:val="00D4094B"/>
    <w:rsid w:val="00D40D29"/>
    <w:rsid w:val="00D41612"/>
    <w:rsid w:val="00D419A0"/>
    <w:rsid w:val="00D42F4C"/>
    <w:rsid w:val="00D4380C"/>
    <w:rsid w:val="00D43EDB"/>
    <w:rsid w:val="00D44772"/>
    <w:rsid w:val="00D44AFD"/>
    <w:rsid w:val="00D44F0A"/>
    <w:rsid w:val="00D45354"/>
    <w:rsid w:val="00D45BC0"/>
    <w:rsid w:val="00D45CB5"/>
    <w:rsid w:val="00D46E8A"/>
    <w:rsid w:val="00D46F5F"/>
    <w:rsid w:val="00D4747E"/>
    <w:rsid w:val="00D47ABA"/>
    <w:rsid w:val="00D47C9F"/>
    <w:rsid w:val="00D50E42"/>
    <w:rsid w:val="00D50F1A"/>
    <w:rsid w:val="00D5103B"/>
    <w:rsid w:val="00D5416D"/>
    <w:rsid w:val="00D5468B"/>
    <w:rsid w:val="00D54FE4"/>
    <w:rsid w:val="00D551F6"/>
    <w:rsid w:val="00D56ECE"/>
    <w:rsid w:val="00D57C0C"/>
    <w:rsid w:val="00D57F53"/>
    <w:rsid w:val="00D605F3"/>
    <w:rsid w:val="00D617F3"/>
    <w:rsid w:val="00D624CF"/>
    <w:rsid w:val="00D626D1"/>
    <w:rsid w:val="00D62B01"/>
    <w:rsid w:val="00D65329"/>
    <w:rsid w:val="00D65AEB"/>
    <w:rsid w:val="00D66C0F"/>
    <w:rsid w:val="00D6712C"/>
    <w:rsid w:val="00D67613"/>
    <w:rsid w:val="00D706C4"/>
    <w:rsid w:val="00D7070D"/>
    <w:rsid w:val="00D707C5"/>
    <w:rsid w:val="00D70FEB"/>
    <w:rsid w:val="00D710D3"/>
    <w:rsid w:val="00D712D6"/>
    <w:rsid w:val="00D71954"/>
    <w:rsid w:val="00D71A5C"/>
    <w:rsid w:val="00D71FA4"/>
    <w:rsid w:val="00D72177"/>
    <w:rsid w:val="00D72584"/>
    <w:rsid w:val="00D72A19"/>
    <w:rsid w:val="00D73CB4"/>
    <w:rsid w:val="00D73CD9"/>
    <w:rsid w:val="00D73D40"/>
    <w:rsid w:val="00D7415E"/>
    <w:rsid w:val="00D74645"/>
    <w:rsid w:val="00D750B6"/>
    <w:rsid w:val="00D76D4E"/>
    <w:rsid w:val="00D76D56"/>
    <w:rsid w:val="00D80967"/>
    <w:rsid w:val="00D818F2"/>
    <w:rsid w:val="00D81C79"/>
    <w:rsid w:val="00D84BC4"/>
    <w:rsid w:val="00D85349"/>
    <w:rsid w:val="00D85451"/>
    <w:rsid w:val="00D85B0B"/>
    <w:rsid w:val="00D86352"/>
    <w:rsid w:val="00D86B4F"/>
    <w:rsid w:val="00D873B7"/>
    <w:rsid w:val="00D91EA3"/>
    <w:rsid w:val="00D92F6E"/>
    <w:rsid w:val="00D93F23"/>
    <w:rsid w:val="00D94263"/>
    <w:rsid w:val="00D9470B"/>
    <w:rsid w:val="00D9626C"/>
    <w:rsid w:val="00D9642C"/>
    <w:rsid w:val="00D966FC"/>
    <w:rsid w:val="00D96FE4"/>
    <w:rsid w:val="00D97A65"/>
    <w:rsid w:val="00D97B8A"/>
    <w:rsid w:val="00DA0B72"/>
    <w:rsid w:val="00DA0DE6"/>
    <w:rsid w:val="00DA167D"/>
    <w:rsid w:val="00DA258D"/>
    <w:rsid w:val="00DA2A14"/>
    <w:rsid w:val="00DA3F13"/>
    <w:rsid w:val="00DA42DC"/>
    <w:rsid w:val="00DA453B"/>
    <w:rsid w:val="00DA47A4"/>
    <w:rsid w:val="00DA4DB6"/>
    <w:rsid w:val="00DA613C"/>
    <w:rsid w:val="00DA6E43"/>
    <w:rsid w:val="00DA6EDB"/>
    <w:rsid w:val="00DA792E"/>
    <w:rsid w:val="00DA7B7B"/>
    <w:rsid w:val="00DB1550"/>
    <w:rsid w:val="00DB1A34"/>
    <w:rsid w:val="00DB2CB6"/>
    <w:rsid w:val="00DB4625"/>
    <w:rsid w:val="00DB4D50"/>
    <w:rsid w:val="00DB599C"/>
    <w:rsid w:val="00DB6A65"/>
    <w:rsid w:val="00DB7DE5"/>
    <w:rsid w:val="00DB7DEF"/>
    <w:rsid w:val="00DB7F84"/>
    <w:rsid w:val="00DC0851"/>
    <w:rsid w:val="00DC0BB4"/>
    <w:rsid w:val="00DC106A"/>
    <w:rsid w:val="00DC161F"/>
    <w:rsid w:val="00DC23B5"/>
    <w:rsid w:val="00DC283C"/>
    <w:rsid w:val="00DC2A45"/>
    <w:rsid w:val="00DC3D64"/>
    <w:rsid w:val="00DC4E7C"/>
    <w:rsid w:val="00DC54DF"/>
    <w:rsid w:val="00DC563D"/>
    <w:rsid w:val="00DC673C"/>
    <w:rsid w:val="00DC6A72"/>
    <w:rsid w:val="00DC7A63"/>
    <w:rsid w:val="00DD0341"/>
    <w:rsid w:val="00DD09D9"/>
    <w:rsid w:val="00DD0CC9"/>
    <w:rsid w:val="00DD15A4"/>
    <w:rsid w:val="00DD17D5"/>
    <w:rsid w:val="00DD18E3"/>
    <w:rsid w:val="00DD1C0F"/>
    <w:rsid w:val="00DD20C9"/>
    <w:rsid w:val="00DD2AA5"/>
    <w:rsid w:val="00DD2EE5"/>
    <w:rsid w:val="00DD4FCE"/>
    <w:rsid w:val="00DD5C87"/>
    <w:rsid w:val="00DD740B"/>
    <w:rsid w:val="00DE057D"/>
    <w:rsid w:val="00DE2127"/>
    <w:rsid w:val="00DE240E"/>
    <w:rsid w:val="00DE4782"/>
    <w:rsid w:val="00DE5028"/>
    <w:rsid w:val="00DE652C"/>
    <w:rsid w:val="00DE67DA"/>
    <w:rsid w:val="00DE6EC9"/>
    <w:rsid w:val="00DF0859"/>
    <w:rsid w:val="00DF1622"/>
    <w:rsid w:val="00DF3311"/>
    <w:rsid w:val="00DF4082"/>
    <w:rsid w:val="00DF458B"/>
    <w:rsid w:val="00DF45E1"/>
    <w:rsid w:val="00DF4F8E"/>
    <w:rsid w:val="00DF5D0A"/>
    <w:rsid w:val="00DF6456"/>
    <w:rsid w:val="00DF650E"/>
    <w:rsid w:val="00DF6A0E"/>
    <w:rsid w:val="00DF6B12"/>
    <w:rsid w:val="00E002B2"/>
    <w:rsid w:val="00E00A22"/>
    <w:rsid w:val="00E01F78"/>
    <w:rsid w:val="00E03C92"/>
    <w:rsid w:val="00E0431F"/>
    <w:rsid w:val="00E04B7B"/>
    <w:rsid w:val="00E04BEF"/>
    <w:rsid w:val="00E064E3"/>
    <w:rsid w:val="00E107EB"/>
    <w:rsid w:val="00E11538"/>
    <w:rsid w:val="00E11753"/>
    <w:rsid w:val="00E12155"/>
    <w:rsid w:val="00E13F25"/>
    <w:rsid w:val="00E13FFB"/>
    <w:rsid w:val="00E16C4A"/>
    <w:rsid w:val="00E1737F"/>
    <w:rsid w:val="00E20269"/>
    <w:rsid w:val="00E2059C"/>
    <w:rsid w:val="00E20A6C"/>
    <w:rsid w:val="00E22179"/>
    <w:rsid w:val="00E22E6A"/>
    <w:rsid w:val="00E22EC2"/>
    <w:rsid w:val="00E232AD"/>
    <w:rsid w:val="00E24A8D"/>
    <w:rsid w:val="00E2547B"/>
    <w:rsid w:val="00E25944"/>
    <w:rsid w:val="00E25D64"/>
    <w:rsid w:val="00E261D4"/>
    <w:rsid w:val="00E26747"/>
    <w:rsid w:val="00E27470"/>
    <w:rsid w:val="00E27E3B"/>
    <w:rsid w:val="00E312BA"/>
    <w:rsid w:val="00E319D5"/>
    <w:rsid w:val="00E32058"/>
    <w:rsid w:val="00E322C9"/>
    <w:rsid w:val="00E328FC"/>
    <w:rsid w:val="00E33AA6"/>
    <w:rsid w:val="00E34B2B"/>
    <w:rsid w:val="00E36A88"/>
    <w:rsid w:val="00E4009A"/>
    <w:rsid w:val="00E40BCB"/>
    <w:rsid w:val="00E414EE"/>
    <w:rsid w:val="00E42C6F"/>
    <w:rsid w:val="00E439FF"/>
    <w:rsid w:val="00E44C8C"/>
    <w:rsid w:val="00E44E1B"/>
    <w:rsid w:val="00E450B3"/>
    <w:rsid w:val="00E460D8"/>
    <w:rsid w:val="00E46317"/>
    <w:rsid w:val="00E46EF1"/>
    <w:rsid w:val="00E47DA9"/>
    <w:rsid w:val="00E50A4A"/>
    <w:rsid w:val="00E511B0"/>
    <w:rsid w:val="00E51A03"/>
    <w:rsid w:val="00E53A2B"/>
    <w:rsid w:val="00E54577"/>
    <w:rsid w:val="00E54A72"/>
    <w:rsid w:val="00E555BF"/>
    <w:rsid w:val="00E56E39"/>
    <w:rsid w:val="00E56E8C"/>
    <w:rsid w:val="00E574D9"/>
    <w:rsid w:val="00E6047B"/>
    <w:rsid w:val="00E610B5"/>
    <w:rsid w:val="00E616C0"/>
    <w:rsid w:val="00E62937"/>
    <w:rsid w:val="00E62E06"/>
    <w:rsid w:val="00E63958"/>
    <w:rsid w:val="00E6431D"/>
    <w:rsid w:val="00E64AD8"/>
    <w:rsid w:val="00E64F9C"/>
    <w:rsid w:val="00E65626"/>
    <w:rsid w:val="00E668EF"/>
    <w:rsid w:val="00E66DA7"/>
    <w:rsid w:val="00E67CF0"/>
    <w:rsid w:val="00E704EF"/>
    <w:rsid w:val="00E73442"/>
    <w:rsid w:val="00E73849"/>
    <w:rsid w:val="00E73A07"/>
    <w:rsid w:val="00E73C14"/>
    <w:rsid w:val="00E73E36"/>
    <w:rsid w:val="00E7485B"/>
    <w:rsid w:val="00E74B59"/>
    <w:rsid w:val="00E7663B"/>
    <w:rsid w:val="00E76E6F"/>
    <w:rsid w:val="00E77737"/>
    <w:rsid w:val="00E8079A"/>
    <w:rsid w:val="00E80C9F"/>
    <w:rsid w:val="00E80F4A"/>
    <w:rsid w:val="00E8155D"/>
    <w:rsid w:val="00E81773"/>
    <w:rsid w:val="00E818B8"/>
    <w:rsid w:val="00E81D71"/>
    <w:rsid w:val="00E8324A"/>
    <w:rsid w:val="00E859F6"/>
    <w:rsid w:val="00E85CFB"/>
    <w:rsid w:val="00E85D4B"/>
    <w:rsid w:val="00E86579"/>
    <w:rsid w:val="00E90103"/>
    <w:rsid w:val="00E913C1"/>
    <w:rsid w:val="00E937FC"/>
    <w:rsid w:val="00E943E4"/>
    <w:rsid w:val="00E94692"/>
    <w:rsid w:val="00E948F0"/>
    <w:rsid w:val="00E97B9A"/>
    <w:rsid w:val="00EA09C3"/>
    <w:rsid w:val="00EA19ED"/>
    <w:rsid w:val="00EA21D9"/>
    <w:rsid w:val="00EA4119"/>
    <w:rsid w:val="00EA5BC6"/>
    <w:rsid w:val="00EA62C2"/>
    <w:rsid w:val="00EA6328"/>
    <w:rsid w:val="00EA72F9"/>
    <w:rsid w:val="00EB0E19"/>
    <w:rsid w:val="00EB0FA3"/>
    <w:rsid w:val="00EB2110"/>
    <w:rsid w:val="00EB3AF2"/>
    <w:rsid w:val="00EB3CCA"/>
    <w:rsid w:val="00EB530A"/>
    <w:rsid w:val="00EB6EAD"/>
    <w:rsid w:val="00EC0555"/>
    <w:rsid w:val="00EC077D"/>
    <w:rsid w:val="00EC0907"/>
    <w:rsid w:val="00EC2E6B"/>
    <w:rsid w:val="00EC4F38"/>
    <w:rsid w:val="00EC678C"/>
    <w:rsid w:val="00EC695D"/>
    <w:rsid w:val="00EC707E"/>
    <w:rsid w:val="00EC77A7"/>
    <w:rsid w:val="00EC7B48"/>
    <w:rsid w:val="00ED11AF"/>
    <w:rsid w:val="00ED3512"/>
    <w:rsid w:val="00ED3CC5"/>
    <w:rsid w:val="00ED485F"/>
    <w:rsid w:val="00ED4D80"/>
    <w:rsid w:val="00ED63E9"/>
    <w:rsid w:val="00ED67B3"/>
    <w:rsid w:val="00ED6886"/>
    <w:rsid w:val="00ED68E7"/>
    <w:rsid w:val="00ED6B99"/>
    <w:rsid w:val="00ED70E1"/>
    <w:rsid w:val="00ED7805"/>
    <w:rsid w:val="00ED7CE6"/>
    <w:rsid w:val="00EE14F2"/>
    <w:rsid w:val="00EE153F"/>
    <w:rsid w:val="00EE19A0"/>
    <w:rsid w:val="00EE23B8"/>
    <w:rsid w:val="00EE4127"/>
    <w:rsid w:val="00EE482F"/>
    <w:rsid w:val="00EE49A0"/>
    <w:rsid w:val="00EE4A2E"/>
    <w:rsid w:val="00EE5C76"/>
    <w:rsid w:val="00EE73DB"/>
    <w:rsid w:val="00EF0419"/>
    <w:rsid w:val="00EF046F"/>
    <w:rsid w:val="00EF07CE"/>
    <w:rsid w:val="00EF0CA3"/>
    <w:rsid w:val="00EF2E42"/>
    <w:rsid w:val="00EF2EA7"/>
    <w:rsid w:val="00EF3460"/>
    <w:rsid w:val="00EF4097"/>
    <w:rsid w:val="00EF58A6"/>
    <w:rsid w:val="00EF5DC7"/>
    <w:rsid w:val="00EF5EF4"/>
    <w:rsid w:val="00EF66B2"/>
    <w:rsid w:val="00EF68E8"/>
    <w:rsid w:val="00EF69C7"/>
    <w:rsid w:val="00EF7834"/>
    <w:rsid w:val="00EF78E2"/>
    <w:rsid w:val="00EF79AF"/>
    <w:rsid w:val="00F005DD"/>
    <w:rsid w:val="00F005E7"/>
    <w:rsid w:val="00F00950"/>
    <w:rsid w:val="00F00A18"/>
    <w:rsid w:val="00F00D1A"/>
    <w:rsid w:val="00F021FB"/>
    <w:rsid w:val="00F02C60"/>
    <w:rsid w:val="00F02DA2"/>
    <w:rsid w:val="00F031DB"/>
    <w:rsid w:val="00F0572A"/>
    <w:rsid w:val="00F05A05"/>
    <w:rsid w:val="00F05A5B"/>
    <w:rsid w:val="00F06BA4"/>
    <w:rsid w:val="00F10951"/>
    <w:rsid w:val="00F11DE2"/>
    <w:rsid w:val="00F1215C"/>
    <w:rsid w:val="00F12961"/>
    <w:rsid w:val="00F12DB5"/>
    <w:rsid w:val="00F13F9E"/>
    <w:rsid w:val="00F146A0"/>
    <w:rsid w:val="00F15233"/>
    <w:rsid w:val="00F15E19"/>
    <w:rsid w:val="00F20195"/>
    <w:rsid w:val="00F20839"/>
    <w:rsid w:val="00F209AB"/>
    <w:rsid w:val="00F22265"/>
    <w:rsid w:val="00F22438"/>
    <w:rsid w:val="00F24AB3"/>
    <w:rsid w:val="00F24B46"/>
    <w:rsid w:val="00F25461"/>
    <w:rsid w:val="00F261A2"/>
    <w:rsid w:val="00F275B7"/>
    <w:rsid w:val="00F2766B"/>
    <w:rsid w:val="00F30157"/>
    <w:rsid w:val="00F308BC"/>
    <w:rsid w:val="00F308E7"/>
    <w:rsid w:val="00F30BB9"/>
    <w:rsid w:val="00F30D6F"/>
    <w:rsid w:val="00F31664"/>
    <w:rsid w:val="00F31873"/>
    <w:rsid w:val="00F31B03"/>
    <w:rsid w:val="00F32213"/>
    <w:rsid w:val="00F339C1"/>
    <w:rsid w:val="00F34504"/>
    <w:rsid w:val="00F34913"/>
    <w:rsid w:val="00F356A8"/>
    <w:rsid w:val="00F35DDF"/>
    <w:rsid w:val="00F36695"/>
    <w:rsid w:val="00F368AB"/>
    <w:rsid w:val="00F36A37"/>
    <w:rsid w:val="00F36FAE"/>
    <w:rsid w:val="00F37B8C"/>
    <w:rsid w:val="00F4018A"/>
    <w:rsid w:val="00F42C75"/>
    <w:rsid w:val="00F42E9F"/>
    <w:rsid w:val="00F43A3C"/>
    <w:rsid w:val="00F4633A"/>
    <w:rsid w:val="00F4640A"/>
    <w:rsid w:val="00F46C6B"/>
    <w:rsid w:val="00F47D5E"/>
    <w:rsid w:val="00F47E61"/>
    <w:rsid w:val="00F50A38"/>
    <w:rsid w:val="00F539CE"/>
    <w:rsid w:val="00F54096"/>
    <w:rsid w:val="00F54859"/>
    <w:rsid w:val="00F556C4"/>
    <w:rsid w:val="00F5612F"/>
    <w:rsid w:val="00F5657B"/>
    <w:rsid w:val="00F56B3E"/>
    <w:rsid w:val="00F57180"/>
    <w:rsid w:val="00F5792F"/>
    <w:rsid w:val="00F57F40"/>
    <w:rsid w:val="00F60859"/>
    <w:rsid w:val="00F625AB"/>
    <w:rsid w:val="00F62C48"/>
    <w:rsid w:val="00F631C3"/>
    <w:rsid w:val="00F6413F"/>
    <w:rsid w:val="00F64831"/>
    <w:rsid w:val="00F65003"/>
    <w:rsid w:val="00F652C8"/>
    <w:rsid w:val="00F6628F"/>
    <w:rsid w:val="00F666B7"/>
    <w:rsid w:val="00F66B2B"/>
    <w:rsid w:val="00F66FD1"/>
    <w:rsid w:val="00F70377"/>
    <w:rsid w:val="00F70F67"/>
    <w:rsid w:val="00F710A9"/>
    <w:rsid w:val="00F71322"/>
    <w:rsid w:val="00F719B3"/>
    <w:rsid w:val="00F71FE3"/>
    <w:rsid w:val="00F7385F"/>
    <w:rsid w:val="00F73C1B"/>
    <w:rsid w:val="00F73EBB"/>
    <w:rsid w:val="00F74C53"/>
    <w:rsid w:val="00F755FF"/>
    <w:rsid w:val="00F7721D"/>
    <w:rsid w:val="00F775F3"/>
    <w:rsid w:val="00F8009E"/>
    <w:rsid w:val="00F80FD4"/>
    <w:rsid w:val="00F812C4"/>
    <w:rsid w:val="00F81446"/>
    <w:rsid w:val="00F816FE"/>
    <w:rsid w:val="00F81A30"/>
    <w:rsid w:val="00F8240B"/>
    <w:rsid w:val="00F8466F"/>
    <w:rsid w:val="00F84AD9"/>
    <w:rsid w:val="00F85219"/>
    <w:rsid w:val="00F85622"/>
    <w:rsid w:val="00F85B7F"/>
    <w:rsid w:val="00F86F7B"/>
    <w:rsid w:val="00F9205F"/>
    <w:rsid w:val="00F922C7"/>
    <w:rsid w:val="00F9267D"/>
    <w:rsid w:val="00F92C9E"/>
    <w:rsid w:val="00F93906"/>
    <w:rsid w:val="00F93B9D"/>
    <w:rsid w:val="00F94F1F"/>
    <w:rsid w:val="00F951D6"/>
    <w:rsid w:val="00F952EC"/>
    <w:rsid w:val="00F95525"/>
    <w:rsid w:val="00F955FD"/>
    <w:rsid w:val="00F95741"/>
    <w:rsid w:val="00F95891"/>
    <w:rsid w:val="00F95E20"/>
    <w:rsid w:val="00F9746E"/>
    <w:rsid w:val="00FA26C7"/>
    <w:rsid w:val="00FA27A1"/>
    <w:rsid w:val="00FA2C88"/>
    <w:rsid w:val="00FA2C8E"/>
    <w:rsid w:val="00FA2E64"/>
    <w:rsid w:val="00FA316F"/>
    <w:rsid w:val="00FA6C25"/>
    <w:rsid w:val="00FA6F08"/>
    <w:rsid w:val="00FA7F4A"/>
    <w:rsid w:val="00FA7F6F"/>
    <w:rsid w:val="00FB006B"/>
    <w:rsid w:val="00FB0E96"/>
    <w:rsid w:val="00FB15EB"/>
    <w:rsid w:val="00FB1624"/>
    <w:rsid w:val="00FB2249"/>
    <w:rsid w:val="00FB32BD"/>
    <w:rsid w:val="00FB3AB7"/>
    <w:rsid w:val="00FB3ADC"/>
    <w:rsid w:val="00FB3F24"/>
    <w:rsid w:val="00FB5504"/>
    <w:rsid w:val="00FB57A2"/>
    <w:rsid w:val="00FB6409"/>
    <w:rsid w:val="00FB6A6A"/>
    <w:rsid w:val="00FB77CA"/>
    <w:rsid w:val="00FB78E6"/>
    <w:rsid w:val="00FC04B1"/>
    <w:rsid w:val="00FC0C1F"/>
    <w:rsid w:val="00FC0F5E"/>
    <w:rsid w:val="00FC31BB"/>
    <w:rsid w:val="00FC3DB2"/>
    <w:rsid w:val="00FC3FBB"/>
    <w:rsid w:val="00FC47AA"/>
    <w:rsid w:val="00FC4F3A"/>
    <w:rsid w:val="00FC5699"/>
    <w:rsid w:val="00FC6C75"/>
    <w:rsid w:val="00FC73FF"/>
    <w:rsid w:val="00FC7856"/>
    <w:rsid w:val="00FC7921"/>
    <w:rsid w:val="00FC7BBD"/>
    <w:rsid w:val="00FC7CE4"/>
    <w:rsid w:val="00FD06BD"/>
    <w:rsid w:val="00FD2AC1"/>
    <w:rsid w:val="00FD2C46"/>
    <w:rsid w:val="00FD321A"/>
    <w:rsid w:val="00FD6B12"/>
    <w:rsid w:val="00FD796C"/>
    <w:rsid w:val="00FD7CB7"/>
    <w:rsid w:val="00FD7D5F"/>
    <w:rsid w:val="00FE16AD"/>
    <w:rsid w:val="00FE1EB4"/>
    <w:rsid w:val="00FE1F80"/>
    <w:rsid w:val="00FE2878"/>
    <w:rsid w:val="00FE3067"/>
    <w:rsid w:val="00FE30DD"/>
    <w:rsid w:val="00FE3C97"/>
    <w:rsid w:val="00FE535C"/>
    <w:rsid w:val="00FE58CA"/>
    <w:rsid w:val="00FE5F42"/>
    <w:rsid w:val="00FE63B1"/>
    <w:rsid w:val="00FE78C2"/>
    <w:rsid w:val="00FE7E3D"/>
    <w:rsid w:val="00FF0007"/>
    <w:rsid w:val="00FF0368"/>
    <w:rsid w:val="00FF2379"/>
    <w:rsid w:val="00FF346C"/>
    <w:rsid w:val="00FF45D1"/>
    <w:rsid w:val="00FF6735"/>
    <w:rsid w:val="00FF67B3"/>
    <w:rsid w:val="00FF7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B4047"/>
  <w15:chartTrackingRefBased/>
  <w15:docId w15:val="{8B21118D-C715-4DFE-8A4B-DB70B7A6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line="276"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47CD"/>
  </w:style>
  <w:style w:type="paragraph" w:styleId="10">
    <w:name w:val="heading 1"/>
    <w:basedOn w:val="a"/>
    <w:next w:val="a"/>
    <w:link w:val="11"/>
    <w:uiPriority w:val="9"/>
    <w:qFormat/>
    <w:rsid w:val="00A005E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005E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A005E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005E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005E0"/>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A005E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005E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005E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005E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A005E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A005E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A005E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005E0"/>
    <w:rPr>
      <w:rFonts w:cstheme="majorBidi"/>
      <w:color w:val="2F5496" w:themeColor="accent1" w:themeShade="BF"/>
      <w:sz w:val="28"/>
      <w:szCs w:val="28"/>
    </w:rPr>
  </w:style>
  <w:style w:type="character" w:customStyle="1" w:styleId="50">
    <w:name w:val="标题 5 字符"/>
    <w:basedOn w:val="a0"/>
    <w:link w:val="5"/>
    <w:uiPriority w:val="9"/>
    <w:semiHidden/>
    <w:rsid w:val="00A005E0"/>
    <w:rPr>
      <w:rFonts w:cstheme="majorBidi"/>
      <w:color w:val="2F5496" w:themeColor="accent1" w:themeShade="BF"/>
      <w:sz w:val="24"/>
    </w:rPr>
  </w:style>
  <w:style w:type="character" w:customStyle="1" w:styleId="60">
    <w:name w:val="标题 6 字符"/>
    <w:basedOn w:val="a0"/>
    <w:link w:val="6"/>
    <w:uiPriority w:val="9"/>
    <w:semiHidden/>
    <w:rsid w:val="00A005E0"/>
    <w:rPr>
      <w:rFonts w:cstheme="majorBidi"/>
      <w:b/>
      <w:bCs/>
      <w:color w:val="2F5496" w:themeColor="accent1" w:themeShade="BF"/>
    </w:rPr>
  </w:style>
  <w:style w:type="character" w:customStyle="1" w:styleId="70">
    <w:name w:val="标题 7 字符"/>
    <w:basedOn w:val="a0"/>
    <w:link w:val="7"/>
    <w:uiPriority w:val="9"/>
    <w:semiHidden/>
    <w:rsid w:val="00A005E0"/>
    <w:rPr>
      <w:rFonts w:cstheme="majorBidi"/>
      <w:b/>
      <w:bCs/>
      <w:color w:val="595959" w:themeColor="text1" w:themeTint="A6"/>
    </w:rPr>
  </w:style>
  <w:style w:type="character" w:customStyle="1" w:styleId="80">
    <w:name w:val="标题 8 字符"/>
    <w:basedOn w:val="a0"/>
    <w:link w:val="8"/>
    <w:uiPriority w:val="9"/>
    <w:semiHidden/>
    <w:rsid w:val="00A005E0"/>
    <w:rPr>
      <w:rFonts w:cstheme="majorBidi"/>
      <w:color w:val="595959" w:themeColor="text1" w:themeTint="A6"/>
    </w:rPr>
  </w:style>
  <w:style w:type="character" w:customStyle="1" w:styleId="90">
    <w:name w:val="标题 9 字符"/>
    <w:basedOn w:val="a0"/>
    <w:link w:val="9"/>
    <w:uiPriority w:val="9"/>
    <w:semiHidden/>
    <w:rsid w:val="00A005E0"/>
    <w:rPr>
      <w:rFonts w:eastAsiaTheme="majorEastAsia" w:cstheme="majorBidi"/>
      <w:color w:val="595959" w:themeColor="text1" w:themeTint="A6"/>
    </w:rPr>
  </w:style>
  <w:style w:type="paragraph" w:styleId="a3">
    <w:name w:val="Title"/>
    <w:basedOn w:val="a"/>
    <w:next w:val="a"/>
    <w:link w:val="a4"/>
    <w:uiPriority w:val="10"/>
    <w:qFormat/>
    <w:rsid w:val="00A005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005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05E0"/>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005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05E0"/>
    <w:pPr>
      <w:spacing w:before="160"/>
      <w:jc w:val="center"/>
    </w:pPr>
    <w:rPr>
      <w:i/>
      <w:iCs/>
      <w:color w:val="404040" w:themeColor="text1" w:themeTint="BF"/>
    </w:rPr>
  </w:style>
  <w:style w:type="character" w:customStyle="1" w:styleId="a8">
    <w:name w:val="引用 字符"/>
    <w:basedOn w:val="a0"/>
    <w:link w:val="a7"/>
    <w:uiPriority w:val="29"/>
    <w:rsid w:val="00A005E0"/>
    <w:rPr>
      <w:i/>
      <w:iCs/>
      <w:color w:val="404040" w:themeColor="text1" w:themeTint="BF"/>
    </w:rPr>
  </w:style>
  <w:style w:type="paragraph" w:styleId="a9">
    <w:name w:val="List Paragraph"/>
    <w:basedOn w:val="a"/>
    <w:uiPriority w:val="34"/>
    <w:qFormat/>
    <w:rsid w:val="00A005E0"/>
    <w:pPr>
      <w:ind w:left="720"/>
      <w:contextualSpacing/>
    </w:pPr>
  </w:style>
  <w:style w:type="character" w:styleId="aa">
    <w:name w:val="Intense Emphasis"/>
    <w:basedOn w:val="a0"/>
    <w:uiPriority w:val="21"/>
    <w:qFormat/>
    <w:rsid w:val="00A005E0"/>
    <w:rPr>
      <w:i/>
      <w:iCs/>
      <w:color w:val="2F5496" w:themeColor="accent1" w:themeShade="BF"/>
    </w:rPr>
  </w:style>
  <w:style w:type="paragraph" w:styleId="ab">
    <w:name w:val="Intense Quote"/>
    <w:basedOn w:val="a"/>
    <w:next w:val="a"/>
    <w:link w:val="ac"/>
    <w:uiPriority w:val="30"/>
    <w:qFormat/>
    <w:rsid w:val="00A005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005E0"/>
    <w:rPr>
      <w:i/>
      <w:iCs/>
      <w:color w:val="2F5496" w:themeColor="accent1" w:themeShade="BF"/>
    </w:rPr>
  </w:style>
  <w:style w:type="character" w:styleId="ad">
    <w:name w:val="Intense Reference"/>
    <w:basedOn w:val="a0"/>
    <w:uiPriority w:val="32"/>
    <w:qFormat/>
    <w:rsid w:val="00A005E0"/>
    <w:rPr>
      <w:b/>
      <w:bCs/>
      <w:smallCaps/>
      <w:color w:val="2F5496" w:themeColor="accent1" w:themeShade="BF"/>
      <w:spacing w:val="5"/>
    </w:rPr>
  </w:style>
  <w:style w:type="paragraph" w:styleId="ae">
    <w:name w:val="header"/>
    <w:basedOn w:val="a"/>
    <w:link w:val="af"/>
    <w:uiPriority w:val="99"/>
    <w:unhideWhenUsed/>
    <w:rsid w:val="00191D7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91D7F"/>
    <w:rPr>
      <w:sz w:val="18"/>
      <w:szCs w:val="18"/>
    </w:rPr>
  </w:style>
  <w:style w:type="paragraph" w:styleId="af0">
    <w:name w:val="footer"/>
    <w:basedOn w:val="a"/>
    <w:link w:val="af1"/>
    <w:uiPriority w:val="99"/>
    <w:unhideWhenUsed/>
    <w:rsid w:val="00191D7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91D7F"/>
    <w:rPr>
      <w:sz w:val="18"/>
      <w:szCs w:val="18"/>
    </w:rPr>
  </w:style>
  <w:style w:type="paragraph" w:customStyle="1" w:styleId="21bc9c4b-6a32-43e5-beaa-fd2d792c5735">
    <w:name w:val="21bc9c4b-6a32-43e5-beaa-fd2d792c5735"/>
    <w:basedOn w:val="10"/>
    <w:next w:val="acbfdd8b-e11b-4d36-88ff-6049b138f862"/>
    <w:link w:val="21bc9c4b-6a32-43e5-beaa-fd2d792c57350"/>
    <w:rsid w:val="009258E8"/>
    <w:pPr>
      <w:adjustRightInd w:val="0"/>
      <w:spacing w:before="0" w:after="0"/>
    </w:pPr>
    <w:rPr>
      <w:rFonts w:ascii="微软雅黑" w:eastAsia="微软雅黑" w:hAnsi="微软雅黑"/>
      <w:b/>
      <w:color w:val="000000"/>
      <w:sz w:val="32"/>
      <w:szCs w:val="32"/>
    </w:rPr>
  </w:style>
  <w:style w:type="character" w:customStyle="1" w:styleId="21bc9c4b-6a32-43e5-beaa-fd2d792c57350">
    <w:name w:val="21bc9c4b-6a32-43e5-beaa-fd2d792c5735 字符"/>
    <w:basedOn w:val="a0"/>
    <w:link w:val="21bc9c4b-6a32-43e5-beaa-fd2d792c5735"/>
    <w:rsid w:val="009258E8"/>
    <w:rPr>
      <w:rFonts w:ascii="微软雅黑" w:eastAsia="微软雅黑" w:hAnsi="微软雅黑" w:cstheme="majorBidi"/>
      <w:b/>
      <w:color w:val="000000"/>
      <w:sz w:val="32"/>
      <w:szCs w:val="32"/>
    </w:rPr>
  </w:style>
  <w:style w:type="paragraph" w:customStyle="1" w:styleId="acbfdd8b-e11b-4d36-88ff-6049b138f862">
    <w:name w:val="acbfdd8b-e11b-4d36-88ff-6049b138f862"/>
    <w:basedOn w:val="a"/>
    <w:link w:val="acbfdd8b-e11b-4d36-88ff-6049b138f8620"/>
    <w:rsid w:val="009258E8"/>
    <w:pPr>
      <w:adjustRightInd w:val="0"/>
    </w:pPr>
    <w:rPr>
      <w:rFonts w:ascii="微软雅黑" w:eastAsia="微软雅黑" w:hAnsi="微软雅黑"/>
      <w:color w:val="000000"/>
      <w:szCs w:val="32"/>
    </w:rPr>
  </w:style>
  <w:style w:type="character" w:customStyle="1" w:styleId="acbfdd8b-e11b-4d36-88ff-6049b138f8620">
    <w:name w:val="acbfdd8b-e11b-4d36-88ff-6049b138f862 字符"/>
    <w:basedOn w:val="a0"/>
    <w:link w:val="acbfdd8b-e11b-4d36-88ff-6049b138f862"/>
    <w:rsid w:val="009258E8"/>
    <w:rPr>
      <w:rFonts w:ascii="微软雅黑" w:eastAsia="微软雅黑" w:hAnsi="微软雅黑"/>
      <w:color w:val="000000"/>
      <w:szCs w:val="32"/>
    </w:rPr>
  </w:style>
  <w:style w:type="paragraph" w:customStyle="1" w:styleId="b63ee27f-4cf3-414c-9275-d88e3f90795e">
    <w:name w:val="b63ee27f-4cf3-414c-9275-d88e3f90795e"/>
    <w:basedOn w:val="3"/>
    <w:next w:val="acbfdd8b-e11b-4d36-88ff-6049b138f862"/>
    <w:link w:val="b63ee27f-4cf3-414c-9275-d88e3f90795e0"/>
    <w:rsid w:val="00B22F56"/>
    <w:pPr>
      <w:adjustRightInd w:val="0"/>
      <w:spacing w:before="0" w:after="0"/>
    </w:pPr>
    <w:rPr>
      <w:rFonts w:ascii="微软雅黑" w:eastAsia="微软雅黑" w:hAnsi="微软雅黑"/>
      <w:b/>
      <w:color w:val="000000"/>
      <w:sz w:val="26"/>
    </w:rPr>
  </w:style>
  <w:style w:type="character" w:customStyle="1" w:styleId="b63ee27f-4cf3-414c-9275-d88e3f90795e0">
    <w:name w:val="b63ee27f-4cf3-414c-9275-d88e3f90795e 字符"/>
    <w:basedOn w:val="acbfdd8b-e11b-4d36-88ff-6049b138f8620"/>
    <w:link w:val="b63ee27f-4cf3-414c-9275-d88e3f90795e"/>
    <w:rsid w:val="00B22F56"/>
    <w:rPr>
      <w:rFonts w:ascii="微软雅黑" w:eastAsia="微软雅黑" w:hAnsi="微软雅黑" w:cstheme="majorBidi"/>
      <w:b/>
      <w:color w:val="000000"/>
      <w:sz w:val="26"/>
      <w:szCs w:val="32"/>
    </w:rPr>
  </w:style>
  <w:style w:type="paragraph" w:customStyle="1" w:styleId="71e7dc79-1ff7-45e8-997d-0ebda3762b91">
    <w:name w:val="71e7dc79-1ff7-45e8-997d-0ebda3762b91"/>
    <w:basedOn w:val="2"/>
    <w:next w:val="acbfdd8b-e11b-4d36-88ff-6049b138f862"/>
    <w:link w:val="71e7dc79-1ff7-45e8-997d-0ebda3762b910"/>
    <w:rsid w:val="00E1737F"/>
    <w:pPr>
      <w:adjustRightInd w:val="0"/>
      <w:spacing w:before="0" w:after="0"/>
    </w:pPr>
    <w:rPr>
      <w:rFonts w:ascii="微软雅黑" w:eastAsia="微软雅黑" w:hAnsi="微软雅黑"/>
      <w:b/>
      <w:color w:val="000000"/>
      <w:sz w:val="28"/>
    </w:rPr>
  </w:style>
  <w:style w:type="character" w:customStyle="1" w:styleId="71e7dc79-1ff7-45e8-997d-0ebda3762b910">
    <w:name w:val="71e7dc79-1ff7-45e8-997d-0ebda3762b91 字符"/>
    <w:basedOn w:val="acbfdd8b-e11b-4d36-88ff-6049b138f8620"/>
    <w:link w:val="71e7dc79-1ff7-45e8-997d-0ebda3762b91"/>
    <w:rsid w:val="00E1737F"/>
    <w:rPr>
      <w:rFonts w:ascii="微软雅黑" w:eastAsia="微软雅黑" w:hAnsi="微软雅黑" w:cstheme="majorBidi"/>
      <w:b/>
      <w:color w:val="000000"/>
      <w:sz w:val="28"/>
      <w:szCs w:val="40"/>
    </w:rPr>
  </w:style>
  <w:style w:type="paragraph" w:customStyle="1" w:styleId="566ba9ff-a5b0-4b6f-bbdf-c3ab41993fc2">
    <w:name w:val="566ba9ff-a5b0-4b6f-bbdf-c3ab41993fc2"/>
    <w:basedOn w:val="4"/>
    <w:next w:val="acbfdd8b-e11b-4d36-88ff-6049b138f862"/>
    <w:link w:val="566ba9ff-a5b0-4b6f-bbdf-c3ab41993fc20"/>
    <w:rsid w:val="008D3052"/>
    <w:pPr>
      <w:adjustRightInd w:val="0"/>
      <w:spacing w:before="0" w:after="0"/>
    </w:pPr>
    <w:rPr>
      <w:rFonts w:ascii="微软雅黑" w:eastAsia="微软雅黑" w:hAnsi="微软雅黑"/>
      <w:b/>
      <w:color w:val="000000"/>
      <w:sz w:val="24"/>
    </w:rPr>
  </w:style>
  <w:style w:type="character" w:customStyle="1" w:styleId="566ba9ff-a5b0-4b6f-bbdf-c3ab41993fc20">
    <w:name w:val="566ba9ff-a5b0-4b6f-bbdf-c3ab41993fc2 字符"/>
    <w:basedOn w:val="acbfdd8b-e11b-4d36-88ff-6049b138f8620"/>
    <w:link w:val="566ba9ff-a5b0-4b6f-bbdf-c3ab41993fc2"/>
    <w:rsid w:val="008D3052"/>
    <w:rPr>
      <w:rFonts w:ascii="微软雅黑" w:eastAsia="微软雅黑" w:hAnsi="微软雅黑" w:cstheme="majorBidi"/>
      <w:b/>
      <w:color w:val="000000"/>
      <w:sz w:val="24"/>
      <w:szCs w:val="28"/>
    </w:rPr>
  </w:style>
  <w:style w:type="table" w:styleId="af2">
    <w:name w:val="Table Grid"/>
    <w:basedOn w:val="a1"/>
    <w:uiPriority w:val="39"/>
    <w:rsid w:val="00005D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B606D9"/>
    <w:rPr>
      <w:rFonts w:ascii="楷体" w:eastAsia="楷体" w:hAnsi="楷体"/>
      <w:vanish/>
      <w:color w:val="FF0000"/>
      <w:sz w:val="32"/>
      <w:szCs w:val="32"/>
    </w:rPr>
  </w:style>
  <w:style w:type="paragraph" w:customStyle="1" w:styleId="MTDisplayEquation">
    <w:name w:val="MTDisplayEquation"/>
    <w:basedOn w:val="acbfdd8b-e11b-4d36-88ff-6049b138f862"/>
    <w:next w:val="a"/>
    <w:link w:val="MTDisplayEquation0"/>
    <w:rsid w:val="00B606D9"/>
    <w:pPr>
      <w:tabs>
        <w:tab w:val="center" w:pos="4540"/>
        <w:tab w:val="right" w:pos="9080"/>
      </w:tabs>
      <w:ind w:firstLine="440"/>
    </w:pPr>
  </w:style>
  <w:style w:type="character" w:customStyle="1" w:styleId="MTDisplayEquation0">
    <w:name w:val="MTDisplayEquation 字符"/>
    <w:basedOn w:val="acbfdd8b-e11b-4d36-88ff-6049b138f8620"/>
    <w:link w:val="MTDisplayEquation"/>
    <w:rsid w:val="00B606D9"/>
    <w:rPr>
      <w:rFonts w:ascii="微软雅黑" w:eastAsia="微软雅黑" w:hAnsi="微软雅黑"/>
      <w:color w:val="000000"/>
      <w:szCs w:val="32"/>
    </w:rPr>
  </w:style>
  <w:style w:type="table" w:customStyle="1" w:styleId="af3">
    <w:name w:val="三线表"/>
    <w:basedOn w:val="a1"/>
    <w:uiPriority w:val="99"/>
    <w:rsid w:val="007225B2"/>
    <w:pPr>
      <w:spacing w:line="240" w:lineRule="auto"/>
      <w:ind w:firstLineChars="0" w:firstLine="0"/>
    </w:pPr>
    <w:rPr>
      <w:sz w:val="21"/>
    </w:rPr>
    <w:tblPr>
      <w:tblBorders>
        <w:top w:val="single" w:sz="12" w:space="0" w:color="auto"/>
        <w:bottom w:val="single" w:sz="12" w:space="0" w:color="auto"/>
      </w:tblBorders>
    </w:tblPr>
    <w:tblStylePr w:type="firstRow">
      <w:tblPr/>
      <w:tcPr>
        <w:tcBorders>
          <w:top w:val="single" w:sz="4" w:space="0" w:color="auto"/>
          <w:left w:val="nil"/>
          <w:bottom w:val="single" w:sz="12" w:space="0" w:color="auto"/>
          <w:right w:val="nil"/>
          <w:insideH w:val="nil"/>
          <w:insideV w:val="nil"/>
          <w:tl2br w:val="nil"/>
          <w:tr2bl w:val="nil"/>
        </w:tcBorders>
      </w:tcPr>
    </w:tblStylePr>
  </w:style>
  <w:style w:type="table" w:styleId="31">
    <w:name w:val="Plain Table 3"/>
    <w:basedOn w:val="a1"/>
    <w:uiPriority w:val="43"/>
    <w:rsid w:val="007225B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075F8A"/>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f4">
    <w:name w:val="三三"/>
    <w:basedOn w:val="a1"/>
    <w:uiPriority w:val="99"/>
    <w:rsid w:val="00C2459E"/>
    <w:pPr>
      <w:spacing w:line="240" w:lineRule="auto"/>
      <w:ind w:firstLineChars="0" w:firstLine="0"/>
    </w:pPr>
    <w:tblPr>
      <w:tblBorders>
        <w:top w:val="single" w:sz="12" w:space="0" w:color="auto"/>
        <w:bottom w:val="single" w:sz="12" w:space="0" w:color="auto"/>
      </w:tblBorders>
    </w:tblPr>
    <w:tblStylePr w:type="firstRow">
      <w:rPr>
        <w:rFonts w:eastAsia="宋体"/>
        <w:color w:val="auto"/>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f5">
    <w:name w:val="caption"/>
    <w:basedOn w:val="a"/>
    <w:next w:val="a"/>
    <w:uiPriority w:val="35"/>
    <w:unhideWhenUsed/>
    <w:qFormat/>
    <w:rsid w:val="0078036D"/>
    <w:rPr>
      <w:rFonts w:asciiTheme="majorHAnsi" w:eastAsia="黑体" w:hAnsiTheme="majorHAnsi" w:cstheme="majorBidi"/>
      <w:sz w:val="20"/>
      <w:szCs w:val="20"/>
    </w:rPr>
  </w:style>
  <w:style w:type="paragraph" w:styleId="af6">
    <w:name w:val="Date"/>
    <w:basedOn w:val="a"/>
    <w:next w:val="a"/>
    <w:link w:val="af7"/>
    <w:uiPriority w:val="99"/>
    <w:semiHidden/>
    <w:unhideWhenUsed/>
    <w:rsid w:val="00A32184"/>
    <w:pPr>
      <w:ind w:leftChars="2500" w:left="100"/>
    </w:pPr>
  </w:style>
  <w:style w:type="character" w:customStyle="1" w:styleId="af7">
    <w:name w:val="日期 字符"/>
    <w:basedOn w:val="a0"/>
    <w:link w:val="af6"/>
    <w:uiPriority w:val="99"/>
    <w:semiHidden/>
    <w:rsid w:val="00A32184"/>
  </w:style>
  <w:style w:type="character" w:styleId="af8">
    <w:name w:val="Hyperlink"/>
    <w:basedOn w:val="a0"/>
    <w:uiPriority w:val="99"/>
    <w:unhideWhenUsed/>
    <w:rsid w:val="00D406B5"/>
    <w:rPr>
      <w:color w:val="0563C1" w:themeColor="hyperlink"/>
      <w:u w:val="single"/>
    </w:rPr>
  </w:style>
  <w:style w:type="character" w:styleId="af9">
    <w:name w:val="Unresolved Mention"/>
    <w:basedOn w:val="a0"/>
    <w:uiPriority w:val="99"/>
    <w:semiHidden/>
    <w:unhideWhenUsed/>
    <w:rsid w:val="00D406B5"/>
    <w:rPr>
      <w:color w:val="605E5C"/>
      <w:shd w:val="clear" w:color="auto" w:fill="E1DFDD"/>
    </w:rPr>
  </w:style>
  <w:style w:type="paragraph" w:styleId="TOC">
    <w:name w:val="TOC Heading"/>
    <w:basedOn w:val="10"/>
    <w:next w:val="a"/>
    <w:uiPriority w:val="39"/>
    <w:unhideWhenUsed/>
    <w:qFormat/>
    <w:rsid w:val="00046CFB"/>
    <w:pPr>
      <w:spacing w:before="240" w:after="0" w:line="259" w:lineRule="auto"/>
      <w:ind w:firstLineChars="0" w:firstLine="0"/>
      <w:outlineLvl w:val="9"/>
    </w:pPr>
    <w:rPr>
      <w:kern w:val="0"/>
      <w:sz w:val="32"/>
      <w:szCs w:val="32"/>
      <w14:ligatures w14:val="none"/>
    </w:rPr>
  </w:style>
  <w:style w:type="paragraph" w:styleId="TOC1">
    <w:name w:val="toc 1"/>
    <w:basedOn w:val="a"/>
    <w:next w:val="a"/>
    <w:autoRedefine/>
    <w:uiPriority w:val="39"/>
    <w:unhideWhenUsed/>
    <w:rsid w:val="00046CFB"/>
  </w:style>
  <w:style w:type="paragraph" w:styleId="TOC2">
    <w:name w:val="toc 2"/>
    <w:basedOn w:val="a"/>
    <w:next w:val="a"/>
    <w:autoRedefine/>
    <w:uiPriority w:val="39"/>
    <w:unhideWhenUsed/>
    <w:rsid w:val="00046CFB"/>
    <w:pPr>
      <w:ind w:leftChars="200" w:left="420"/>
    </w:pPr>
  </w:style>
  <w:style w:type="paragraph" w:styleId="TOC3">
    <w:name w:val="toc 3"/>
    <w:basedOn w:val="a"/>
    <w:next w:val="a"/>
    <w:autoRedefine/>
    <w:uiPriority w:val="39"/>
    <w:unhideWhenUsed/>
    <w:rsid w:val="00046CFB"/>
    <w:pPr>
      <w:ind w:leftChars="400" w:left="840"/>
    </w:pPr>
  </w:style>
  <w:style w:type="paragraph" w:styleId="afa">
    <w:name w:val="No Spacing"/>
    <w:uiPriority w:val="1"/>
    <w:qFormat/>
    <w:rsid w:val="00D96FE4"/>
    <w:pPr>
      <w:spacing w:line="240" w:lineRule="auto"/>
    </w:pPr>
  </w:style>
  <w:style w:type="character" w:customStyle="1" w:styleId="mord">
    <w:name w:val="mord"/>
    <w:basedOn w:val="a0"/>
    <w:rsid w:val="00A1322E"/>
  </w:style>
  <w:style w:type="character" w:customStyle="1" w:styleId="vlist-s">
    <w:name w:val="vlist-s"/>
    <w:basedOn w:val="a0"/>
    <w:rsid w:val="00A1322E"/>
  </w:style>
  <w:style w:type="character" w:customStyle="1" w:styleId="mrel">
    <w:name w:val="mrel"/>
    <w:basedOn w:val="a0"/>
    <w:rsid w:val="00A1322E"/>
  </w:style>
  <w:style w:type="character" w:customStyle="1" w:styleId="mbin">
    <w:name w:val="mbin"/>
    <w:basedOn w:val="a0"/>
    <w:rsid w:val="00A1322E"/>
  </w:style>
  <w:style w:type="character" w:styleId="afb">
    <w:name w:val="Strong"/>
    <w:basedOn w:val="a0"/>
    <w:uiPriority w:val="22"/>
    <w:qFormat/>
    <w:rsid w:val="000006E1"/>
    <w:rPr>
      <w:b/>
      <w:bCs/>
    </w:rPr>
  </w:style>
  <w:style w:type="character" w:customStyle="1" w:styleId="katex-mathml">
    <w:name w:val="katex-mathml"/>
    <w:basedOn w:val="a0"/>
    <w:rsid w:val="000006E1"/>
  </w:style>
  <w:style w:type="paragraph" w:customStyle="1" w:styleId="1">
    <w:name w:val="样式1"/>
    <w:basedOn w:val="21bc9c4b-6a32-43e5-beaa-fd2d792c5735"/>
    <w:next w:val="a"/>
    <w:link w:val="12"/>
    <w:qFormat/>
    <w:rsid w:val="00FE58CA"/>
    <w:pPr>
      <w:numPr>
        <w:numId w:val="11"/>
      </w:numPr>
      <w:ind w:left="0" w:firstLineChars="0" w:firstLine="0"/>
      <w:jc w:val="center"/>
    </w:pPr>
    <w:rPr>
      <w:rFonts w:ascii="黑体" w:eastAsia="黑体" w:hAnsi="黑体"/>
      <w:color w:val="auto"/>
    </w:rPr>
  </w:style>
  <w:style w:type="character" w:customStyle="1" w:styleId="12">
    <w:name w:val="样式1 字符"/>
    <w:basedOn w:val="21bc9c4b-6a32-43e5-beaa-fd2d792c57350"/>
    <w:link w:val="1"/>
    <w:rsid w:val="00FE58CA"/>
    <w:rPr>
      <w:rFonts w:ascii="黑体" w:eastAsia="黑体" w:hAnsi="黑体" w:cstheme="majorBidi"/>
      <w:b/>
      <w:color w:val="000000"/>
      <w:sz w:val="32"/>
      <w:szCs w:val="32"/>
    </w:rPr>
  </w:style>
  <w:style w:type="paragraph" w:customStyle="1" w:styleId="21">
    <w:name w:val="样式2"/>
    <w:basedOn w:val="2"/>
    <w:link w:val="22"/>
    <w:qFormat/>
    <w:rsid w:val="006D6F6F"/>
    <w:pPr>
      <w:ind w:firstLineChars="0" w:firstLine="0"/>
    </w:pPr>
    <w:rPr>
      <w:rFonts w:ascii="黑体" w:eastAsia="黑体" w:hAnsi="黑体"/>
      <w:b/>
      <w:bCs/>
      <w:color w:val="auto"/>
      <w:sz w:val="24"/>
      <w:szCs w:val="24"/>
    </w:rPr>
  </w:style>
  <w:style w:type="character" w:customStyle="1" w:styleId="22">
    <w:name w:val="样式2 字符"/>
    <w:basedOn w:val="20"/>
    <w:link w:val="21"/>
    <w:rsid w:val="006D6F6F"/>
    <w:rPr>
      <w:rFonts w:ascii="黑体" w:eastAsia="黑体" w:hAnsi="黑体" w:cstheme="majorBidi"/>
      <w:b/>
      <w:bCs/>
      <w:color w:val="2F5496"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8897">
      <w:bodyDiv w:val="1"/>
      <w:marLeft w:val="0"/>
      <w:marRight w:val="0"/>
      <w:marTop w:val="0"/>
      <w:marBottom w:val="0"/>
      <w:divBdr>
        <w:top w:val="none" w:sz="0" w:space="0" w:color="auto"/>
        <w:left w:val="none" w:sz="0" w:space="0" w:color="auto"/>
        <w:bottom w:val="none" w:sz="0" w:space="0" w:color="auto"/>
        <w:right w:val="none" w:sz="0" w:space="0" w:color="auto"/>
      </w:divBdr>
    </w:div>
    <w:div w:id="188956508">
      <w:bodyDiv w:val="1"/>
      <w:marLeft w:val="0"/>
      <w:marRight w:val="0"/>
      <w:marTop w:val="0"/>
      <w:marBottom w:val="0"/>
      <w:divBdr>
        <w:top w:val="none" w:sz="0" w:space="0" w:color="auto"/>
        <w:left w:val="none" w:sz="0" w:space="0" w:color="auto"/>
        <w:bottom w:val="none" w:sz="0" w:space="0" w:color="auto"/>
        <w:right w:val="none" w:sz="0" w:space="0" w:color="auto"/>
      </w:divBdr>
    </w:div>
    <w:div w:id="214464772">
      <w:bodyDiv w:val="1"/>
      <w:marLeft w:val="0"/>
      <w:marRight w:val="0"/>
      <w:marTop w:val="0"/>
      <w:marBottom w:val="0"/>
      <w:divBdr>
        <w:top w:val="none" w:sz="0" w:space="0" w:color="auto"/>
        <w:left w:val="none" w:sz="0" w:space="0" w:color="auto"/>
        <w:bottom w:val="none" w:sz="0" w:space="0" w:color="auto"/>
        <w:right w:val="none" w:sz="0" w:space="0" w:color="auto"/>
      </w:divBdr>
    </w:div>
    <w:div w:id="294919530">
      <w:bodyDiv w:val="1"/>
      <w:marLeft w:val="0"/>
      <w:marRight w:val="0"/>
      <w:marTop w:val="0"/>
      <w:marBottom w:val="0"/>
      <w:divBdr>
        <w:top w:val="none" w:sz="0" w:space="0" w:color="auto"/>
        <w:left w:val="none" w:sz="0" w:space="0" w:color="auto"/>
        <w:bottom w:val="none" w:sz="0" w:space="0" w:color="auto"/>
        <w:right w:val="none" w:sz="0" w:space="0" w:color="auto"/>
      </w:divBdr>
      <w:divsChild>
        <w:div w:id="781147540">
          <w:marLeft w:val="0"/>
          <w:marRight w:val="0"/>
          <w:marTop w:val="0"/>
          <w:marBottom w:val="0"/>
          <w:divBdr>
            <w:top w:val="none" w:sz="0" w:space="0" w:color="auto"/>
            <w:left w:val="none" w:sz="0" w:space="0" w:color="auto"/>
            <w:bottom w:val="none" w:sz="0" w:space="0" w:color="auto"/>
            <w:right w:val="none" w:sz="0" w:space="0" w:color="auto"/>
          </w:divBdr>
        </w:div>
      </w:divsChild>
    </w:div>
    <w:div w:id="333920392">
      <w:bodyDiv w:val="1"/>
      <w:marLeft w:val="0"/>
      <w:marRight w:val="0"/>
      <w:marTop w:val="0"/>
      <w:marBottom w:val="0"/>
      <w:divBdr>
        <w:top w:val="none" w:sz="0" w:space="0" w:color="auto"/>
        <w:left w:val="none" w:sz="0" w:space="0" w:color="auto"/>
        <w:bottom w:val="none" w:sz="0" w:space="0" w:color="auto"/>
        <w:right w:val="none" w:sz="0" w:space="0" w:color="auto"/>
      </w:divBdr>
      <w:divsChild>
        <w:div w:id="1262102952">
          <w:marLeft w:val="0"/>
          <w:marRight w:val="0"/>
          <w:marTop w:val="0"/>
          <w:marBottom w:val="0"/>
          <w:divBdr>
            <w:top w:val="none" w:sz="0" w:space="0" w:color="auto"/>
            <w:left w:val="none" w:sz="0" w:space="0" w:color="auto"/>
            <w:bottom w:val="none" w:sz="0" w:space="0" w:color="auto"/>
            <w:right w:val="none" w:sz="0" w:space="0" w:color="auto"/>
          </w:divBdr>
        </w:div>
      </w:divsChild>
    </w:div>
    <w:div w:id="463042514">
      <w:bodyDiv w:val="1"/>
      <w:marLeft w:val="0"/>
      <w:marRight w:val="0"/>
      <w:marTop w:val="0"/>
      <w:marBottom w:val="0"/>
      <w:divBdr>
        <w:top w:val="none" w:sz="0" w:space="0" w:color="auto"/>
        <w:left w:val="none" w:sz="0" w:space="0" w:color="auto"/>
        <w:bottom w:val="none" w:sz="0" w:space="0" w:color="auto"/>
        <w:right w:val="none" w:sz="0" w:space="0" w:color="auto"/>
      </w:divBdr>
    </w:div>
    <w:div w:id="467548778">
      <w:bodyDiv w:val="1"/>
      <w:marLeft w:val="0"/>
      <w:marRight w:val="0"/>
      <w:marTop w:val="0"/>
      <w:marBottom w:val="0"/>
      <w:divBdr>
        <w:top w:val="none" w:sz="0" w:space="0" w:color="auto"/>
        <w:left w:val="none" w:sz="0" w:space="0" w:color="auto"/>
        <w:bottom w:val="none" w:sz="0" w:space="0" w:color="auto"/>
        <w:right w:val="none" w:sz="0" w:space="0" w:color="auto"/>
      </w:divBdr>
    </w:div>
    <w:div w:id="472143866">
      <w:bodyDiv w:val="1"/>
      <w:marLeft w:val="0"/>
      <w:marRight w:val="0"/>
      <w:marTop w:val="0"/>
      <w:marBottom w:val="0"/>
      <w:divBdr>
        <w:top w:val="none" w:sz="0" w:space="0" w:color="auto"/>
        <w:left w:val="none" w:sz="0" w:space="0" w:color="auto"/>
        <w:bottom w:val="none" w:sz="0" w:space="0" w:color="auto"/>
        <w:right w:val="none" w:sz="0" w:space="0" w:color="auto"/>
      </w:divBdr>
      <w:divsChild>
        <w:div w:id="835338391">
          <w:marLeft w:val="0"/>
          <w:marRight w:val="0"/>
          <w:marTop w:val="0"/>
          <w:marBottom w:val="0"/>
          <w:divBdr>
            <w:top w:val="none" w:sz="0" w:space="0" w:color="auto"/>
            <w:left w:val="none" w:sz="0" w:space="0" w:color="auto"/>
            <w:bottom w:val="none" w:sz="0" w:space="0" w:color="auto"/>
            <w:right w:val="none" w:sz="0" w:space="0" w:color="auto"/>
          </w:divBdr>
        </w:div>
        <w:div w:id="121658575">
          <w:marLeft w:val="0"/>
          <w:marRight w:val="0"/>
          <w:marTop w:val="0"/>
          <w:marBottom w:val="0"/>
          <w:divBdr>
            <w:top w:val="none" w:sz="0" w:space="0" w:color="auto"/>
            <w:left w:val="none" w:sz="0" w:space="0" w:color="auto"/>
            <w:bottom w:val="none" w:sz="0" w:space="0" w:color="auto"/>
            <w:right w:val="none" w:sz="0" w:space="0" w:color="auto"/>
          </w:divBdr>
        </w:div>
        <w:div w:id="546527315">
          <w:marLeft w:val="0"/>
          <w:marRight w:val="0"/>
          <w:marTop w:val="0"/>
          <w:marBottom w:val="0"/>
          <w:divBdr>
            <w:top w:val="none" w:sz="0" w:space="0" w:color="auto"/>
            <w:left w:val="none" w:sz="0" w:space="0" w:color="auto"/>
            <w:bottom w:val="none" w:sz="0" w:space="0" w:color="auto"/>
            <w:right w:val="none" w:sz="0" w:space="0" w:color="auto"/>
          </w:divBdr>
        </w:div>
      </w:divsChild>
    </w:div>
    <w:div w:id="546599986">
      <w:bodyDiv w:val="1"/>
      <w:marLeft w:val="0"/>
      <w:marRight w:val="0"/>
      <w:marTop w:val="0"/>
      <w:marBottom w:val="0"/>
      <w:divBdr>
        <w:top w:val="none" w:sz="0" w:space="0" w:color="auto"/>
        <w:left w:val="none" w:sz="0" w:space="0" w:color="auto"/>
        <w:bottom w:val="none" w:sz="0" w:space="0" w:color="auto"/>
        <w:right w:val="none" w:sz="0" w:space="0" w:color="auto"/>
      </w:divBdr>
      <w:divsChild>
        <w:div w:id="1239245368">
          <w:marLeft w:val="0"/>
          <w:marRight w:val="0"/>
          <w:marTop w:val="0"/>
          <w:marBottom w:val="0"/>
          <w:divBdr>
            <w:top w:val="none" w:sz="0" w:space="0" w:color="auto"/>
            <w:left w:val="none" w:sz="0" w:space="0" w:color="auto"/>
            <w:bottom w:val="none" w:sz="0" w:space="0" w:color="auto"/>
            <w:right w:val="none" w:sz="0" w:space="0" w:color="auto"/>
          </w:divBdr>
        </w:div>
      </w:divsChild>
    </w:div>
    <w:div w:id="712770836">
      <w:bodyDiv w:val="1"/>
      <w:marLeft w:val="0"/>
      <w:marRight w:val="0"/>
      <w:marTop w:val="0"/>
      <w:marBottom w:val="0"/>
      <w:divBdr>
        <w:top w:val="none" w:sz="0" w:space="0" w:color="auto"/>
        <w:left w:val="none" w:sz="0" w:space="0" w:color="auto"/>
        <w:bottom w:val="none" w:sz="0" w:space="0" w:color="auto"/>
        <w:right w:val="none" w:sz="0" w:space="0" w:color="auto"/>
      </w:divBdr>
    </w:div>
    <w:div w:id="750614354">
      <w:bodyDiv w:val="1"/>
      <w:marLeft w:val="0"/>
      <w:marRight w:val="0"/>
      <w:marTop w:val="0"/>
      <w:marBottom w:val="0"/>
      <w:divBdr>
        <w:top w:val="none" w:sz="0" w:space="0" w:color="auto"/>
        <w:left w:val="none" w:sz="0" w:space="0" w:color="auto"/>
        <w:bottom w:val="none" w:sz="0" w:space="0" w:color="auto"/>
        <w:right w:val="none" w:sz="0" w:space="0" w:color="auto"/>
      </w:divBdr>
      <w:divsChild>
        <w:div w:id="1540435785">
          <w:marLeft w:val="0"/>
          <w:marRight w:val="0"/>
          <w:marTop w:val="0"/>
          <w:marBottom w:val="0"/>
          <w:divBdr>
            <w:top w:val="none" w:sz="0" w:space="0" w:color="auto"/>
            <w:left w:val="none" w:sz="0" w:space="0" w:color="auto"/>
            <w:bottom w:val="none" w:sz="0" w:space="0" w:color="auto"/>
            <w:right w:val="none" w:sz="0" w:space="0" w:color="auto"/>
          </w:divBdr>
        </w:div>
        <w:div w:id="378555156">
          <w:marLeft w:val="0"/>
          <w:marRight w:val="0"/>
          <w:marTop w:val="0"/>
          <w:marBottom w:val="0"/>
          <w:divBdr>
            <w:top w:val="none" w:sz="0" w:space="0" w:color="auto"/>
            <w:left w:val="none" w:sz="0" w:space="0" w:color="auto"/>
            <w:bottom w:val="none" w:sz="0" w:space="0" w:color="auto"/>
            <w:right w:val="none" w:sz="0" w:space="0" w:color="auto"/>
          </w:divBdr>
        </w:div>
        <w:div w:id="1460688897">
          <w:marLeft w:val="0"/>
          <w:marRight w:val="0"/>
          <w:marTop w:val="0"/>
          <w:marBottom w:val="0"/>
          <w:divBdr>
            <w:top w:val="none" w:sz="0" w:space="0" w:color="auto"/>
            <w:left w:val="none" w:sz="0" w:space="0" w:color="auto"/>
            <w:bottom w:val="none" w:sz="0" w:space="0" w:color="auto"/>
            <w:right w:val="none" w:sz="0" w:space="0" w:color="auto"/>
          </w:divBdr>
        </w:div>
        <w:div w:id="919095063">
          <w:marLeft w:val="0"/>
          <w:marRight w:val="0"/>
          <w:marTop w:val="0"/>
          <w:marBottom w:val="0"/>
          <w:divBdr>
            <w:top w:val="none" w:sz="0" w:space="0" w:color="auto"/>
            <w:left w:val="none" w:sz="0" w:space="0" w:color="auto"/>
            <w:bottom w:val="none" w:sz="0" w:space="0" w:color="auto"/>
            <w:right w:val="none" w:sz="0" w:space="0" w:color="auto"/>
          </w:divBdr>
        </w:div>
        <w:div w:id="1384519583">
          <w:marLeft w:val="0"/>
          <w:marRight w:val="0"/>
          <w:marTop w:val="0"/>
          <w:marBottom w:val="0"/>
          <w:divBdr>
            <w:top w:val="none" w:sz="0" w:space="0" w:color="auto"/>
            <w:left w:val="none" w:sz="0" w:space="0" w:color="auto"/>
            <w:bottom w:val="none" w:sz="0" w:space="0" w:color="auto"/>
            <w:right w:val="none" w:sz="0" w:space="0" w:color="auto"/>
          </w:divBdr>
        </w:div>
      </w:divsChild>
    </w:div>
    <w:div w:id="826092006">
      <w:bodyDiv w:val="1"/>
      <w:marLeft w:val="0"/>
      <w:marRight w:val="0"/>
      <w:marTop w:val="0"/>
      <w:marBottom w:val="0"/>
      <w:divBdr>
        <w:top w:val="none" w:sz="0" w:space="0" w:color="auto"/>
        <w:left w:val="none" w:sz="0" w:space="0" w:color="auto"/>
        <w:bottom w:val="none" w:sz="0" w:space="0" w:color="auto"/>
        <w:right w:val="none" w:sz="0" w:space="0" w:color="auto"/>
      </w:divBdr>
      <w:divsChild>
        <w:div w:id="1645815298">
          <w:marLeft w:val="0"/>
          <w:marRight w:val="0"/>
          <w:marTop w:val="0"/>
          <w:marBottom w:val="0"/>
          <w:divBdr>
            <w:top w:val="none" w:sz="0" w:space="0" w:color="auto"/>
            <w:left w:val="none" w:sz="0" w:space="0" w:color="auto"/>
            <w:bottom w:val="none" w:sz="0" w:space="0" w:color="auto"/>
            <w:right w:val="none" w:sz="0" w:space="0" w:color="auto"/>
          </w:divBdr>
        </w:div>
        <w:div w:id="452024354">
          <w:marLeft w:val="0"/>
          <w:marRight w:val="0"/>
          <w:marTop w:val="0"/>
          <w:marBottom w:val="0"/>
          <w:divBdr>
            <w:top w:val="none" w:sz="0" w:space="0" w:color="auto"/>
            <w:left w:val="none" w:sz="0" w:space="0" w:color="auto"/>
            <w:bottom w:val="none" w:sz="0" w:space="0" w:color="auto"/>
            <w:right w:val="none" w:sz="0" w:space="0" w:color="auto"/>
          </w:divBdr>
        </w:div>
      </w:divsChild>
    </w:div>
    <w:div w:id="1135487678">
      <w:bodyDiv w:val="1"/>
      <w:marLeft w:val="0"/>
      <w:marRight w:val="0"/>
      <w:marTop w:val="0"/>
      <w:marBottom w:val="0"/>
      <w:divBdr>
        <w:top w:val="none" w:sz="0" w:space="0" w:color="auto"/>
        <w:left w:val="none" w:sz="0" w:space="0" w:color="auto"/>
        <w:bottom w:val="none" w:sz="0" w:space="0" w:color="auto"/>
        <w:right w:val="none" w:sz="0" w:space="0" w:color="auto"/>
      </w:divBdr>
      <w:divsChild>
        <w:div w:id="195506932">
          <w:marLeft w:val="0"/>
          <w:marRight w:val="0"/>
          <w:marTop w:val="0"/>
          <w:marBottom w:val="0"/>
          <w:divBdr>
            <w:top w:val="none" w:sz="0" w:space="0" w:color="auto"/>
            <w:left w:val="none" w:sz="0" w:space="0" w:color="auto"/>
            <w:bottom w:val="none" w:sz="0" w:space="0" w:color="auto"/>
            <w:right w:val="none" w:sz="0" w:space="0" w:color="auto"/>
          </w:divBdr>
        </w:div>
      </w:divsChild>
    </w:div>
    <w:div w:id="1301378072">
      <w:bodyDiv w:val="1"/>
      <w:marLeft w:val="0"/>
      <w:marRight w:val="0"/>
      <w:marTop w:val="0"/>
      <w:marBottom w:val="0"/>
      <w:divBdr>
        <w:top w:val="none" w:sz="0" w:space="0" w:color="auto"/>
        <w:left w:val="none" w:sz="0" w:space="0" w:color="auto"/>
        <w:bottom w:val="none" w:sz="0" w:space="0" w:color="auto"/>
        <w:right w:val="none" w:sz="0" w:space="0" w:color="auto"/>
      </w:divBdr>
    </w:div>
    <w:div w:id="1321275310">
      <w:bodyDiv w:val="1"/>
      <w:marLeft w:val="0"/>
      <w:marRight w:val="0"/>
      <w:marTop w:val="0"/>
      <w:marBottom w:val="0"/>
      <w:divBdr>
        <w:top w:val="none" w:sz="0" w:space="0" w:color="auto"/>
        <w:left w:val="none" w:sz="0" w:space="0" w:color="auto"/>
        <w:bottom w:val="none" w:sz="0" w:space="0" w:color="auto"/>
        <w:right w:val="none" w:sz="0" w:space="0" w:color="auto"/>
      </w:divBdr>
      <w:divsChild>
        <w:div w:id="846552545">
          <w:marLeft w:val="0"/>
          <w:marRight w:val="0"/>
          <w:marTop w:val="0"/>
          <w:marBottom w:val="0"/>
          <w:divBdr>
            <w:top w:val="none" w:sz="0" w:space="0" w:color="auto"/>
            <w:left w:val="none" w:sz="0" w:space="0" w:color="auto"/>
            <w:bottom w:val="none" w:sz="0" w:space="0" w:color="auto"/>
            <w:right w:val="none" w:sz="0" w:space="0" w:color="auto"/>
          </w:divBdr>
        </w:div>
        <w:div w:id="297537879">
          <w:marLeft w:val="0"/>
          <w:marRight w:val="0"/>
          <w:marTop w:val="0"/>
          <w:marBottom w:val="0"/>
          <w:divBdr>
            <w:top w:val="none" w:sz="0" w:space="0" w:color="auto"/>
            <w:left w:val="none" w:sz="0" w:space="0" w:color="auto"/>
            <w:bottom w:val="none" w:sz="0" w:space="0" w:color="auto"/>
            <w:right w:val="none" w:sz="0" w:space="0" w:color="auto"/>
          </w:divBdr>
        </w:div>
        <w:div w:id="1222209546">
          <w:marLeft w:val="0"/>
          <w:marRight w:val="0"/>
          <w:marTop w:val="0"/>
          <w:marBottom w:val="0"/>
          <w:divBdr>
            <w:top w:val="none" w:sz="0" w:space="0" w:color="auto"/>
            <w:left w:val="none" w:sz="0" w:space="0" w:color="auto"/>
            <w:bottom w:val="none" w:sz="0" w:space="0" w:color="auto"/>
            <w:right w:val="none" w:sz="0" w:space="0" w:color="auto"/>
          </w:divBdr>
        </w:div>
        <w:div w:id="1526862944">
          <w:marLeft w:val="0"/>
          <w:marRight w:val="0"/>
          <w:marTop w:val="0"/>
          <w:marBottom w:val="0"/>
          <w:divBdr>
            <w:top w:val="none" w:sz="0" w:space="0" w:color="auto"/>
            <w:left w:val="none" w:sz="0" w:space="0" w:color="auto"/>
            <w:bottom w:val="none" w:sz="0" w:space="0" w:color="auto"/>
            <w:right w:val="none" w:sz="0" w:space="0" w:color="auto"/>
          </w:divBdr>
        </w:div>
        <w:div w:id="846753371">
          <w:marLeft w:val="0"/>
          <w:marRight w:val="0"/>
          <w:marTop w:val="0"/>
          <w:marBottom w:val="0"/>
          <w:divBdr>
            <w:top w:val="none" w:sz="0" w:space="0" w:color="auto"/>
            <w:left w:val="none" w:sz="0" w:space="0" w:color="auto"/>
            <w:bottom w:val="none" w:sz="0" w:space="0" w:color="auto"/>
            <w:right w:val="none" w:sz="0" w:space="0" w:color="auto"/>
          </w:divBdr>
        </w:div>
      </w:divsChild>
    </w:div>
    <w:div w:id="1493377715">
      <w:bodyDiv w:val="1"/>
      <w:marLeft w:val="0"/>
      <w:marRight w:val="0"/>
      <w:marTop w:val="0"/>
      <w:marBottom w:val="0"/>
      <w:divBdr>
        <w:top w:val="none" w:sz="0" w:space="0" w:color="auto"/>
        <w:left w:val="none" w:sz="0" w:space="0" w:color="auto"/>
        <w:bottom w:val="none" w:sz="0" w:space="0" w:color="auto"/>
        <w:right w:val="none" w:sz="0" w:space="0" w:color="auto"/>
      </w:divBdr>
      <w:divsChild>
        <w:div w:id="1583031037">
          <w:marLeft w:val="0"/>
          <w:marRight w:val="0"/>
          <w:marTop w:val="0"/>
          <w:marBottom w:val="0"/>
          <w:divBdr>
            <w:top w:val="none" w:sz="0" w:space="0" w:color="auto"/>
            <w:left w:val="none" w:sz="0" w:space="0" w:color="auto"/>
            <w:bottom w:val="none" w:sz="0" w:space="0" w:color="auto"/>
            <w:right w:val="none" w:sz="0" w:space="0" w:color="auto"/>
          </w:divBdr>
        </w:div>
        <w:div w:id="1415085755">
          <w:marLeft w:val="0"/>
          <w:marRight w:val="0"/>
          <w:marTop w:val="0"/>
          <w:marBottom w:val="0"/>
          <w:divBdr>
            <w:top w:val="none" w:sz="0" w:space="0" w:color="auto"/>
            <w:left w:val="none" w:sz="0" w:space="0" w:color="auto"/>
            <w:bottom w:val="none" w:sz="0" w:space="0" w:color="auto"/>
            <w:right w:val="none" w:sz="0" w:space="0" w:color="auto"/>
          </w:divBdr>
        </w:div>
        <w:div w:id="125121076">
          <w:marLeft w:val="0"/>
          <w:marRight w:val="0"/>
          <w:marTop w:val="0"/>
          <w:marBottom w:val="0"/>
          <w:divBdr>
            <w:top w:val="none" w:sz="0" w:space="0" w:color="auto"/>
            <w:left w:val="none" w:sz="0" w:space="0" w:color="auto"/>
            <w:bottom w:val="none" w:sz="0" w:space="0" w:color="auto"/>
            <w:right w:val="none" w:sz="0" w:space="0" w:color="auto"/>
          </w:divBdr>
        </w:div>
        <w:div w:id="347677814">
          <w:marLeft w:val="0"/>
          <w:marRight w:val="0"/>
          <w:marTop w:val="0"/>
          <w:marBottom w:val="0"/>
          <w:divBdr>
            <w:top w:val="none" w:sz="0" w:space="0" w:color="auto"/>
            <w:left w:val="none" w:sz="0" w:space="0" w:color="auto"/>
            <w:bottom w:val="none" w:sz="0" w:space="0" w:color="auto"/>
            <w:right w:val="none" w:sz="0" w:space="0" w:color="auto"/>
          </w:divBdr>
        </w:div>
        <w:div w:id="1621065232">
          <w:marLeft w:val="0"/>
          <w:marRight w:val="0"/>
          <w:marTop w:val="0"/>
          <w:marBottom w:val="0"/>
          <w:divBdr>
            <w:top w:val="none" w:sz="0" w:space="0" w:color="auto"/>
            <w:left w:val="none" w:sz="0" w:space="0" w:color="auto"/>
            <w:bottom w:val="none" w:sz="0" w:space="0" w:color="auto"/>
            <w:right w:val="none" w:sz="0" w:space="0" w:color="auto"/>
          </w:divBdr>
        </w:div>
      </w:divsChild>
    </w:div>
    <w:div w:id="1633975558">
      <w:bodyDiv w:val="1"/>
      <w:marLeft w:val="0"/>
      <w:marRight w:val="0"/>
      <w:marTop w:val="0"/>
      <w:marBottom w:val="0"/>
      <w:divBdr>
        <w:top w:val="none" w:sz="0" w:space="0" w:color="auto"/>
        <w:left w:val="none" w:sz="0" w:space="0" w:color="auto"/>
        <w:bottom w:val="none" w:sz="0" w:space="0" w:color="auto"/>
        <w:right w:val="none" w:sz="0" w:space="0" w:color="auto"/>
      </w:divBdr>
    </w:div>
    <w:div w:id="1893885898">
      <w:bodyDiv w:val="1"/>
      <w:marLeft w:val="0"/>
      <w:marRight w:val="0"/>
      <w:marTop w:val="0"/>
      <w:marBottom w:val="0"/>
      <w:divBdr>
        <w:top w:val="none" w:sz="0" w:space="0" w:color="auto"/>
        <w:left w:val="none" w:sz="0" w:space="0" w:color="auto"/>
        <w:bottom w:val="none" w:sz="0" w:space="0" w:color="auto"/>
        <w:right w:val="none" w:sz="0" w:space="0" w:color="auto"/>
      </w:divBdr>
      <w:divsChild>
        <w:div w:id="1531524918">
          <w:marLeft w:val="0"/>
          <w:marRight w:val="0"/>
          <w:marTop w:val="0"/>
          <w:marBottom w:val="0"/>
          <w:divBdr>
            <w:top w:val="none" w:sz="0" w:space="0" w:color="auto"/>
            <w:left w:val="none" w:sz="0" w:space="0" w:color="auto"/>
            <w:bottom w:val="none" w:sz="0" w:space="0" w:color="auto"/>
            <w:right w:val="none" w:sz="0" w:space="0" w:color="auto"/>
          </w:divBdr>
        </w:div>
        <w:div w:id="791172298">
          <w:marLeft w:val="0"/>
          <w:marRight w:val="0"/>
          <w:marTop w:val="0"/>
          <w:marBottom w:val="0"/>
          <w:divBdr>
            <w:top w:val="none" w:sz="0" w:space="0" w:color="auto"/>
            <w:left w:val="none" w:sz="0" w:space="0" w:color="auto"/>
            <w:bottom w:val="none" w:sz="0" w:space="0" w:color="auto"/>
            <w:right w:val="none" w:sz="0" w:space="0" w:color="auto"/>
          </w:divBdr>
        </w:div>
      </w:divsChild>
    </w:div>
    <w:div w:id="1957053901">
      <w:bodyDiv w:val="1"/>
      <w:marLeft w:val="0"/>
      <w:marRight w:val="0"/>
      <w:marTop w:val="0"/>
      <w:marBottom w:val="0"/>
      <w:divBdr>
        <w:top w:val="none" w:sz="0" w:space="0" w:color="auto"/>
        <w:left w:val="none" w:sz="0" w:space="0" w:color="auto"/>
        <w:bottom w:val="none" w:sz="0" w:space="0" w:color="auto"/>
        <w:right w:val="none" w:sz="0" w:space="0" w:color="auto"/>
      </w:divBdr>
      <w:divsChild>
        <w:div w:id="1637641930">
          <w:marLeft w:val="0"/>
          <w:marRight w:val="0"/>
          <w:marTop w:val="0"/>
          <w:marBottom w:val="0"/>
          <w:divBdr>
            <w:top w:val="none" w:sz="0" w:space="0" w:color="auto"/>
            <w:left w:val="none" w:sz="0" w:space="0" w:color="auto"/>
            <w:bottom w:val="none" w:sz="0" w:space="0" w:color="auto"/>
            <w:right w:val="none" w:sz="0" w:space="0" w:color="auto"/>
          </w:divBdr>
        </w:div>
      </w:divsChild>
    </w:div>
    <w:div w:id="2018265638">
      <w:bodyDiv w:val="1"/>
      <w:marLeft w:val="0"/>
      <w:marRight w:val="0"/>
      <w:marTop w:val="0"/>
      <w:marBottom w:val="0"/>
      <w:divBdr>
        <w:top w:val="none" w:sz="0" w:space="0" w:color="auto"/>
        <w:left w:val="none" w:sz="0" w:space="0" w:color="auto"/>
        <w:bottom w:val="none" w:sz="0" w:space="0" w:color="auto"/>
        <w:right w:val="none" w:sz="0" w:space="0" w:color="auto"/>
      </w:divBdr>
      <w:divsChild>
        <w:div w:id="1456946710">
          <w:marLeft w:val="0"/>
          <w:marRight w:val="0"/>
          <w:marTop w:val="0"/>
          <w:marBottom w:val="0"/>
          <w:divBdr>
            <w:top w:val="none" w:sz="0" w:space="0" w:color="auto"/>
            <w:left w:val="none" w:sz="0" w:space="0" w:color="auto"/>
            <w:bottom w:val="none" w:sz="0" w:space="0" w:color="auto"/>
            <w:right w:val="none" w:sz="0" w:space="0" w:color="auto"/>
          </w:divBdr>
        </w:div>
        <w:div w:id="2123912536">
          <w:marLeft w:val="0"/>
          <w:marRight w:val="0"/>
          <w:marTop w:val="0"/>
          <w:marBottom w:val="0"/>
          <w:divBdr>
            <w:top w:val="none" w:sz="0" w:space="0" w:color="auto"/>
            <w:left w:val="none" w:sz="0" w:space="0" w:color="auto"/>
            <w:bottom w:val="none" w:sz="0" w:space="0" w:color="auto"/>
            <w:right w:val="none" w:sz="0" w:space="0" w:color="auto"/>
          </w:divBdr>
        </w:div>
        <w:div w:id="779030512">
          <w:marLeft w:val="0"/>
          <w:marRight w:val="0"/>
          <w:marTop w:val="0"/>
          <w:marBottom w:val="0"/>
          <w:divBdr>
            <w:top w:val="none" w:sz="0" w:space="0" w:color="auto"/>
            <w:left w:val="none" w:sz="0" w:space="0" w:color="auto"/>
            <w:bottom w:val="none" w:sz="0" w:space="0" w:color="auto"/>
            <w:right w:val="none" w:sz="0" w:space="0" w:color="auto"/>
          </w:divBdr>
        </w:div>
      </w:divsChild>
    </w:div>
    <w:div w:id="2019304523">
      <w:bodyDiv w:val="1"/>
      <w:marLeft w:val="0"/>
      <w:marRight w:val="0"/>
      <w:marTop w:val="0"/>
      <w:marBottom w:val="0"/>
      <w:divBdr>
        <w:top w:val="none" w:sz="0" w:space="0" w:color="auto"/>
        <w:left w:val="none" w:sz="0" w:space="0" w:color="auto"/>
        <w:bottom w:val="none" w:sz="0" w:space="0" w:color="auto"/>
        <w:right w:val="none" w:sz="0" w:space="0" w:color="auto"/>
      </w:divBdr>
    </w:div>
    <w:div w:id="2080903568">
      <w:bodyDiv w:val="1"/>
      <w:marLeft w:val="0"/>
      <w:marRight w:val="0"/>
      <w:marTop w:val="0"/>
      <w:marBottom w:val="0"/>
      <w:divBdr>
        <w:top w:val="none" w:sz="0" w:space="0" w:color="auto"/>
        <w:left w:val="none" w:sz="0" w:space="0" w:color="auto"/>
        <w:bottom w:val="none" w:sz="0" w:space="0" w:color="auto"/>
        <w:right w:val="none" w:sz="0" w:space="0" w:color="auto"/>
      </w:divBdr>
      <w:divsChild>
        <w:div w:id="877814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02285-1E82-4664-9B32-A2F53A6EF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4</Pages>
  <Words>1635</Words>
  <Characters>2520</Characters>
  <Application>Microsoft Office Word</Application>
  <DocSecurity>0</DocSecurity>
  <Lines>74</Lines>
  <Paragraphs>51</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欣萍 王</dc:creator>
  <cp:keywords/>
  <dc:description/>
  <cp:lastModifiedBy>征 南</cp:lastModifiedBy>
  <cp:revision>18</cp:revision>
  <cp:lastPrinted>2025-09-07T05:34:00Z</cp:lastPrinted>
  <dcterms:created xsi:type="dcterms:W3CDTF">2025-09-07T02:24:00Z</dcterms:created>
  <dcterms:modified xsi:type="dcterms:W3CDTF">2025-11-17T13:56:00Z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MTEqnNumsOnRight">
    <vt:bool>true</vt:bool>
  </property>
  <property fmtid="{D5CDD505-2E9C-101B-9397-08002B2CF9AE}" pid="6" name="ZOTERO_PREF_1">
    <vt:lpwstr>&lt;data data-version="3" zotero-version="7.0.27"&gt;&lt;session id="j0SPw0pG"/&gt;&lt;style id="http://www.zotero.org/styles/apa" locale="zh-CN" hasBibliography="1" bibliographyStyleHasBeenSet="0"/&gt;&lt;prefs&gt;&lt;pref name="fieldType" value="Field"/&gt;&lt;pref name="automaticJourn</vt:lpwstr>
  </property>
  <property fmtid="{D5CDD505-2E9C-101B-9397-08002B2CF9AE}" pid="7" name="ZOTERO_PREF_2">
    <vt:lpwstr>alAbbreviations" value="true"/&gt;&lt;/prefs&gt;&lt;/data&gt;</vt:lpwstr>
  </property>
</Properties>
</file>