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F6F65" w14:textId="77777777" w:rsidR="00BB3497" w:rsidRPr="002B6177" w:rsidRDefault="00A61B0D" w:rsidP="00C51D6E">
      <w:pPr>
        <w:jc w:val="right"/>
      </w:pPr>
      <w:bookmarkStart w:id="0" w:name="_Hlk173762616"/>
      <w:bookmarkEnd w:id="0"/>
      <w:r>
        <w:rPr>
          <w:rFonts w:hint="eastAsia"/>
        </w:rPr>
        <w:t xml:space="preserve">　</w:t>
      </w:r>
    </w:p>
    <w:p w14:paraId="0BB132FC" w14:textId="77777777" w:rsidR="00372CBB" w:rsidRPr="001F251C" w:rsidRDefault="00372CBB" w:rsidP="001F251C">
      <w:pPr>
        <w:jc w:val="center"/>
        <w:rPr>
          <w:sz w:val="32"/>
          <w:szCs w:val="32"/>
        </w:rPr>
      </w:pPr>
      <w:r w:rsidRPr="001F251C">
        <w:rPr>
          <w:rFonts w:hint="eastAsia"/>
          <w:sz w:val="32"/>
          <w:szCs w:val="32"/>
        </w:rPr>
        <w:t>自信過剰な</w:t>
      </w:r>
      <w:r w:rsidR="001F251C" w:rsidRPr="001F251C">
        <w:rPr>
          <w:rFonts w:hint="eastAsia"/>
          <w:sz w:val="32"/>
          <w:szCs w:val="32"/>
        </w:rPr>
        <w:t>経営者</w:t>
      </w:r>
      <w:r w:rsidRPr="001F251C">
        <w:rPr>
          <w:rFonts w:hint="eastAsia"/>
          <w:sz w:val="32"/>
          <w:szCs w:val="32"/>
        </w:rPr>
        <w:t>による企業に投資するリスク</w:t>
      </w:r>
      <w:r w:rsidR="001F251C" w:rsidRPr="001F251C">
        <w:rPr>
          <w:rFonts w:hint="eastAsia"/>
          <w:sz w:val="32"/>
          <w:szCs w:val="32"/>
        </w:rPr>
        <w:t>分析</w:t>
      </w:r>
    </w:p>
    <w:p w14:paraId="27FDB75A" w14:textId="77777777" w:rsidR="00C51D6E" w:rsidRDefault="00C51D6E" w:rsidP="00C51D6E">
      <w:pPr>
        <w:ind w:right="840"/>
      </w:pPr>
    </w:p>
    <w:p w14:paraId="1AB56D25" w14:textId="77777777" w:rsidR="00372CBB" w:rsidRDefault="00372CBB" w:rsidP="00C51D6E">
      <w:pPr>
        <w:jc w:val="right"/>
      </w:pPr>
    </w:p>
    <w:p w14:paraId="3D28E28F" w14:textId="77777777" w:rsidR="00372CBB" w:rsidRDefault="00372CBB">
      <w:r>
        <w:rPr>
          <w:rFonts w:hint="eastAsia"/>
        </w:rPr>
        <w:t>要旨</w:t>
      </w:r>
    </w:p>
    <w:p w14:paraId="648851AD" w14:textId="77777777" w:rsidR="00372CBB" w:rsidRDefault="00372CBB" w:rsidP="002B6177">
      <w:pPr>
        <w:ind w:firstLineChars="100" w:firstLine="210"/>
      </w:pPr>
      <w:r>
        <w:rPr>
          <w:rFonts w:hint="eastAsia"/>
        </w:rPr>
        <w:t>近年</w:t>
      </w:r>
      <w:r w:rsidR="00A61B0D">
        <w:rPr>
          <w:rFonts w:hint="eastAsia"/>
        </w:rPr>
        <w:t>、</w:t>
      </w:r>
      <w:r>
        <w:rPr>
          <w:rFonts w:hint="eastAsia"/>
        </w:rPr>
        <w:t>経営者</w:t>
      </w:r>
      <w:r w:rsidR="00A61B0D">
        <w:rPr>
          <w:rFonts w:hint="eastAsia"/>
        </w:rPr>
        <w:t>の自信過剰度合いが会計指標に如実に表れることが明らかになっている。</w:t>
      </w:r>
      <w:r>
        <w:rPr>
          <w:rFonts w:hint="eastAsia"/>
        </w:rPr>
        <w:t>自信過剰な経営者は過剰な投資を行う傾向があ</w:t>
      </w:r>
      <w:r w:rsidR="00A61B0D">
        <w:rPr>
          <w:rFonts w:hint="eastAsia"/>
        </w:rPr>
        <w:t>り、企業としてのリスクは高いと</w:t>
      </w:r>
      <w:r w:rsidR="00491F10">
        <w:rPr>
          <w:rFonts w:hint="eastAsia"/>
        </w:rPr>
        <w:t>考えられている。本レポートでは投資家の立場に立ち、</w:t>
      </w:r>
      <w:r w:rsidR="002B6177">
        <w:rPr>
          <w:rFonts w:hint="eastAsia"/>
        </w:rPr>
        <w:t>近年明らかになった自信過剰な企業の会計的特徴を踏まえて企業をスクリーニングすることで自信過剰な企業からなるポートフォリオを作成し、そのポートフォリオのリターンとリスクをボラティリティ変動モデルから推測することで、自信過剰な</w:t>
      </w:r>
      <w:r w:rsidR="00491F10">
        <w:rPr>
          <w:rFonts w:hint="eastAsia"/>
        </w:rPr>
        <w:t>企業</w:t>
      </w:r>
      <w:r w:rsidR="00BE2EA1">
        <w:rPr>
          <w:rFonts w:hint="eastAsia"/>
        </w:rPr>
        <w:t>の株式に</w:t>
      </w:r>
      <w:r w:rsidR="00491F10">
        <w:rPr>
          <w:rFonts w:hint="eastAsia"/>
        </w:rPr>
        <w:t>投資することはどの程度のリスクがあるのかを定量的に</w:t>
      </w:r>
      <w:r w:rsidR="002B6177">
        <w:rPr>
          <w:rFonts w:hint="eastAsia"/>
        </w:rPr>
        <w:t>明らかにした。</w:t>
      </w:r>
    </w:p>
    <w:p w14:paraId="5CB24FDC" w14:textId="77777777" w:rsidR="00491F10" w:rsidRDefault="002B6177" w:rsidP="002B6177">
      <w:pPr>
        <w:ind w:firstLineChars="100" w:firstLine="210"/>
      </w:pPr>
      <w:r>
        <w:rPr>
          <w:rFonts w:hint="eastAsia"/>
        </w:rPr>
        <w:t>分析から得られた</w:t>
      </w:r>
      <w:r w:rsidR="00491F10">
        <w:rPr>
          <w:rFonts w:hint="eastAsia"/>
        </w:rPr>
        <w:t>結果として、日経平均などと比べ相対的に自信過剰な企業に投資することのリスクは高いことが明らかになった。</w:t>
      </w:r>
    </w:p>
    <w:p w14:paraId="3FAE87FC" w14:textId="77777777" w:rsidR="002B6177" w:rsidRPr="00491F10" w:rsidRDefault="002B6177"/>
    <w:p w14:paraId="25A398F4" w14:textId="77777777" w:rsidR="002B6177" w:rsidRDefault="00F71680">
      <w:pPr>
        <w:widowControl/>
        <w:jc w:val="left"/>
      </w:pPr>
      <w:r>
        <w:br w:type="page"/>
      </w:r>
    </w:p>
    <w:p w14:paraId="102F8A48" w14:textId="77777777" w:rsidR="009E753A" w:rsidRDefault="00E77CE0" w:rsidP="00F71680">
      <w:pPr>
        <w:pStyle w:val="a3"/>
        <w:numPr>
          <w:ilvl w:val="0"/>
          <w:numId w:val="3"/>
        </w:numPr>
        <w:ind w:leftChars="0"/>
      </w:pPr>
      <w:r>
        <w:rPr>
          <w:rFonts w:hint="eastAsia"/>
        </w:rPr>
        <w:lastRenderedPageBreak/>
        <w:t>はじめに</w:t>
      </w:r>
    </w:p>
    <w:p w14:paraId="0AD8A422" w14:textId="77777777" w:rsidR="00BE2EA1" w:rsidRDefault="00BE2EA1" w:rsidP="009B4D20"/>
    <w:p w14:paraId="341D53C4" w14:textId="77777777" w:rsidR="00491F10" w:rsidRDefault="00491F10" w:rsidP="00491F10">
      <w:r>
        <w:rPr>
          <w:rFonts w:hint="eastAsia"/>
        </w:rPr>
        <w:t xml:space="preserve">1.1　</w:t>
      </w:r>
      <w:r w:rsidR="00FF7106">
        <w:rPr>
          <w:rFonts w:hint="eastAsia"/>
        </w:rPr>
        <w:t xml:space="preserve">経営者の自信についての考察 </w:t>
      </w:r>
    </w:p>
    <w:p w14:paraId="64234E82" w14:textId="77777777" w:rsidR="009E753A" w:rsidRDefault="00FF7106" w:rsidP="002E5F43">
      <w:pPr>
        <w:ind w:firstLineChars="100" w:firstLine="210"/>
      </w:pPr>
      <w:r>
        <w:rPr>
          <w:rFonts w:hint="eastAsia"/>
        </w:rPr>
        <w:t>会社の代表である</w:t>
      </w:r>
      <w:r w:rsidR="00E77CE0">
        <w:rPr>
          <w:rFonts w:hint="eastAsia"/>
        </w:rPr>
        <w:t>経営者には</w:t>
      </w:r>
      <w:r>
        <w:rPr>
          <w:rFonts w:hint="eastAsia"/>
        </w:rPr>
        <w:t>絶対的な</w:t>
      </w:r>
      <w:r w:rsidR="00E77CE0">
        <w:rPr>
          <w:rFonts w:hint="eastAsia"/>
        </w:rPr>
        <w:t>自信が必要</w:t>
      </w:r>
      <w:r w:rsidR="00C9165C">
        <w:rPr>
          <w:rFonts w:hint="eastAsia"/>
        </w:rPr>
        <w:t>であることは言うまでもない。</w:t>
      </w:r>
      <w:r w:rsidR="000A50F9">
        <w:rPr>
          <w:rFonts w:hint="eastAsia"/>
        </w:rPr>
        <w:t>経営者は会社の将来を左右する投資プロジェクトを行うか否かを最終的に決める立場にあり、経営者のビジネスに対する自信度合いによってその判断が下されることが多い。</w:t>
      </w:r>
      <w:r w:rsidR="00C9165C">
        <w:rPr>
          <w:rFonts w:hint="eastAsia"/>
        </w:rPr>
        <w:t>経営者</w:t>
      </w:r>
      <w:r w:rsidR="000A50F9">
        <w:rPr>
          <w:rFonts w:hint="eastAsia"/>
        </w:rPr>
        <w:t>が過度に将来を悲観するような性格であれば、</w:t>
      </w:r>
      <w:r w:rsidR="00D11C95">
        <w:rPr>
          <w:rFonts w:hint="eastAsia"/>
        </w:rPr>
        <w:t>もし企業を大きく成長させるような投資チャンスが回ってきたとしても</w:t>
      </w:r>
      <w:r w:rsidR="000A50F9">
        <w:rPr>
          <w:rFonts w:hint="eastAsia"/>
        </w:rPr>
        <w:t>その企業は</w:t>
      </w:r>
      <w:r w:rsidR="00C9165C">
        <w:rPr>
          <w:rFonts w:hint="eastAsia"/>
        </w:rPr>
        <w:t>積極的な投資が行</w:t>
      </w:r>
      <w:r w:rsidR="000A50F9">
        <w:rPr>
          <w:rFonts w:hint="eastAsia"/>
        </w:rPr>
        <w:t>うことが出来</w:t>
      </w:r>
      <w:r w:rsidR="00D11C95">
        <w:rPr>
          <w:rFonts w:hint="eastAsia"/>
        </w:rPr>
        <w:t>ず</w:t>
      </w:r>
      <w:r w:rsidR="00C9165C">
        <w:rPr>
          <w:rFonts w:hint="eastAsia"/>
        </w:rPr>
        <w:t>、</w:t>
      </w:r>
      <w:r w:rsidR="000A50F9">
        <w:rPr>
          <w:rFonts w:hint="eastAsia"/>
        </w:rPr>
        <w:t>その結果</w:t>
      </w:r>
      <w:r w:rsidR="00C9165C">
        <w:rPr>
          <w:rFonts w:hint="eastAsia"/>
        </w:rPr>
        <w:t>企業価値向上の機会を喪失してしまう</w:t>
      </w:r>
      <w:r w:rsidR="002E5F43">
        <w:rPr>
          <w:rFonts w:hint="eastAsia"/>
        </w:rPr>
        <w:t>だろう。</w:t>
      </w:r>
      <w:r w:rsidR="00D11C95">
        <w:rPr>
          <w:rFonts w:hint="eastAsia"/>
        </w:rPr>
        <w:t>実証分析として例えば</w:t>
      </w:r>
      <w:r w:rsidR="00C9165C">
        <w:rPr>
          <w:rFonts w:hint="eastAsia"/>
        </w:rPr>
        <w:t>Gervais et al. (</w:t>
      </w:r>
      <w:r w:rsidR="002E5F43">
        <w:t>2002)</w:t>
      </w:r>
      <w:r w:rsidR="002E5F43">
        <w:rPr>
          <w:rFonts w:hint="eastAsia"/>
        </w:rPr>
        <w:t xml:space="preserve"> では</w:t>
      </w:r>
      <w:r w:rsidR="00C9165C">
        <w:rPr>
          <w:rFonts w:hint="eastAsia"/>
        </w:rPr>
        <w:t>、</w:t>
      </w:r>
      <w:r w:rsidR="002E5F43">
        <w:rPr>
          <w:rFonts w:hint="eastAsia"/>
        </w:rPr>
        <w:t>リスク回避的で</w:t>
      </w:r>
      <w:r w:rsidR="00C9165C">
        <w:rPr>
          <w:rFonts w:hint="eastAsia"/>
        </w:rPr>
        <w:t>経済合理的な経営者は株主にとって利益となる投資プロジェクト</w:t>
      </w:r>
      <w:r w:rsidR="002E5F43">
        <w:rPr>
          <w:rFonts w:hint="eastAsia"/>
        </w:rPr>
        <w:t>の</w:t>
      </w:r>
      <w:r w:rsidR="00C9165C">
        <w:rPr>
          <w:rFonts w:hint="eastAsia"/>
        </w:rPr>
        <w:t>意思決定を先延ばしにする傾向がある</w:t>
      </w:r>
      <w:r w:rsidR="002E5F43">
        <w:rPr>
          <w:rFonts w:hint="eastAsia"/>
        </w:rPr>
        <w:t>ことが示唆されている。</w:t>
      </w:r>
      <w:r w:rsidR="00FB1CA8">
        <w:rPr>
          <w:rFonts w:hint="eastAsia"/>
        </w:rPr>
        <w:t>その</w:t>
      </w:r>
      <w:r w:rsidR="002E5F43">
        <w:rPr>
          <w:rFonts w:hint="eastAsia"/>
        </w:rPr>
        <w:t>一方で、</w:t>
      </w:r>
      <w:r w:rsidR="00C9165C" w:rsidRPr="00C9165C">
        <w:t>⾼い⾃信を持つ経営者</w:t>
      </w:r>
      <w:r w:rsidR="002E5F43">
        <w:rPr>
          <w:rFonts w:hint="eastAsia"/>
        </w:rPr>
        <w:t>は</w:t>
      </w:r>
      <w:r w:rsidR="00C9165C" w:rsidRPr="00C9165C">
        <w:t>投資やプロジェク トの決定</w:t>
      </w:r>
      <w:r w:rsidR="002E5F43">
        <w:rPr>
          <w:rFonts w:hint="eastAsia"/>
        </w:rPr>
        <w:t>が迅速であり、</w:t>
      </w:r>
      <w:r w:rsidR="00D11C95">
        <w:rPr>
          <w:rFonts w:hint="eastAsia"/>
        </w:rPr>
        <w:t>その</w:t>
      </w:r>
      <w:r w:rsidR="00C9165C" w:rsidRPr="00C9165C">
        <w:t>結果として</w:t>
      </w:r>
      <w:r w:rsidR="002E5F43">
        <w:rPr>
          <w:rFonts w:hint="eastAsia"/>
        </w:rPr>
        <w:t>自信のある経営者によって運営されている企業の企業価値が高まるという</w:t>
      </w:r>
      <w:r w:rsidR="009E753A">
        <w:rPr>
          <w:rFonts w:hint="eastAsia"/>
        </w:rPr>
        <w:t>ことが</w:t>
      </w:r>
      <w:r w:rsidR="00FB1CA8">
        <w:rPr>
          <w:rFonts w:hint="eastAsia"/>
        </w:rPr>
        <w:t>同論文で</w:t>
      </w:r>
      <w:r w:rsidR="009E753A">
        <w:rPr>
          <w:rFonts w:hint="eastAsia"/>
        </w:rPr>
        <w:t>示されている。</w:t>
      </w:r>
      <w:proofErr w:type="spellStart"/>
      <w:r w:rsidR="009E753A" w:rsidRPr="00C9165C">
        <w:t>Malmendier</w:t>
      </w:r>
      <w:proofErr w:type="spellEnd"/>
      <w:r w:rsidR="009E753A" w:rsidRPr="00C9165C">
        <w:t xml:space="preserve"> </w:t>
      </w:r>
      <w:r w:rsidR="009E753A">
        <w:rPr>
          <w:rFonts w:hint="eastAsia"/>
        </w:rPr>
        <w:t>and</w:t>
      </w:r>
      <w:r w:rsidR="009E753A" w:rsidRPr="00C9165C">
        <w:t xml:space="preserve"> Tate</w:t>
      </w:r>
      <w:r w:rsidR="009E753A">
        <w:rPr>
          <w:rFonts w:hint="eastAsia"/>
        </w:rPr>
        <w:t>(</w:t>
      </w:r>
      <w:r w:rsidR="009E753A" w:rsidRPr="00C9165C">
        <w:t>2005a</w:t>
      </w:r>
      <w:r w:rsidR="009E753A">
        <w:t>)</w:t>
      </w:r>
      <w:r w:rsidR="009E753A">
        <w:rPr>
          <w:rFonts w:hint="eastAsia"/>
        </w:rPr>
        <w:t xml:space="preserve"> でも同様のことが示されており、キャッシュフローに対する投資の感応度と経営者の自信の高さとの間には相関があると述べ</w:t>
      </w:r>
      <w:r w:rsidR="00D11C95">
        <w:rPr>
          <w:rFonts w:hint="eastAsia"/>
        </w:rPr>
        <w:t>ている</w:t>
      </w:r>
      <w:r w:rsidR="009E753A">
        <w:rPr>
          <w:rFonts w:hint="eastAsia"/>
        </w:rPr>
        <w:t>。このようなことから、会社の投資判断の決定権を持つ経営者が自信を持つことは企業価値を高めるという点において重要であるといえる。</w:t>
      </w:r>
    </w:p>
    <w:p w14:paraId="3987B5EE" w14:textId="77777777" w:rsidR="005D7FBC" w:rsidRDefault="00D11C95" w:rsidP="009E753A">
      <w:pPr>
        <w:ind w:firstLineChars="100" w:firstLine="210"/>
      </w:pPr>
      <w:r>
        <w:rPr>
          <w:rFonts w:hint="eastAsia"/>
        </w:rPr>
        <w:t>その一方で</w:t>
      </w:r>
      <w:r w:rsidR="005D7FBC">
        <w:rPr>
          <w:rFonts w:hint="eastAsia"/>
        </w:rPr>
        <w:t>、適度な自信は</w:t>
      </w:r>
      <w:r>
        <w:rPr>
          <w:rFonts w:hint="eastAsia"/>
        </w:rPr>
        <w:t>むしろ</w:t>
      </w:r>
      <w:r w:rsidR="005D7FBC">
        <w:rPr>
          <w:rFonts w:hint="eastAsia"/>
        </w:rPr>
        <w:t>企業価値の損失につながる可能性がある</w:t>
      </w:r>
      <w:r w:rsidR="009E753A">
        <w:rPr>
          <w:rFonts w:hint="eastAsia"/>
        </w:rPr>
        <w:t>こと</w:t>
      </w:r>
      <w:r>
        <w:rPr>
          <w:rFonts w:hint="eastAsia"/>
        </w:rPr>
        <w:t>を示す研究もいくつか存在する</w:t>
      </w:r>
      <w:r w:rsidR="009E753A">
        <w:rPr>
          <w:rFonts w:hint="eastAsia"/>
        </w:rPr>
        <w:t>。</w:t>
      </w:r>
      <w:r w:rsidR="00B872F4">
        <w:rPr>
          <w:rFonts w:hint="eastAsia"/>
        </w:rPr>
        <w:t>Kim and Zhang(2016)は、過剰な自信は過剰投資や不採算なプロジェクトの継続、不適切なM&amp;Aなどにつながると述べ</w:t>
      </w:r>
      <w:r w:rsidR="009E753A">
        <w:rPr>
          <w:rFonts w:hint="eastAsia"/>
        </w:rPr>
        <w:t>ている</w:t>
      </w:r>
      <w:r w:rsidR="00B872F4">
        <w:rPr>
          <w:rFonts w:hint="eastAsia"/>
        </w:rPr>
        <w:t>。</w:t>
      </w:r>
      <w:r w:rsidR="005D7FBC">
        <w:rPr>
          <w:rFonts w:hint="eastAsia"/>
        </w:rPr>
        <w:t>太田(2019)は、経営者の自信過剰な程度が強い企業ほど大規模な過剰投資を行うことが明らかにしている。</w:t>
      </w:r>
      <w:r w:rsidR="009E753A">
        <w:rPr>
          <w:rFonts w:hint="eastAsia"/>
        </w:rPr>
        <w:t>投資は企業を成長させていく上で重要なものではあるが、あまりにもそれが</w:t>
      </w:r>
      <w:r w:rsidR="00B872F4">
        <w:rPr>
          <w:rFonts w:hint="eastAsia"/>
        </w:rPr>
        <w:t>過剰</w:t>
      </w:r>
      <w:r w:rsidR="009E753A">
        <w:rPr>
          <w:rFonts w:hint="eastAsia"/>
        </w:rPr>
        <w:t>になってしまうと</w:t>
      </w:r>
      <w:r w:rsidR="00B872F4">
        <w:rPr>
          <w:rFonts w:hint="eastAsia"/>
        </w:rPr>
        <w:t>会社の負債比率を高めてしまい、結果的に企業価値が損なわれてしまう可能性が高い。</w:t>
      </w:r>
    </w:p>
    <w:p w14:paraId="265B4A19" w14:textId="77777777" w:rsidR="00B872F4" w:rsidRDefault="00B872F4" w:rsidP="00BC6ADA">
      <w:pPr>
        <w:ind w:firstLineChars="100" w:firstLine="210"/>
      </w:pPr>
      <w:r>
        <w:rPr>
          <w:rFonts w:hint="eastAsia"/>
        </w:rPr>
        <w:t>以上のように、</w:t>
      </w:r>
      <w:r w:rsidR="00BC6ADA">
        <w:rPr>
          <w:rFonts w:hint="eastAsia"/>
        </w:rPr>
        <w:t>会社の命運を握る投資判断を行う</w:t>
      </w:r>
      <w:r>
        <w:rPr>
          <w:rFonts w:hint="eastAsia"/>
        </w:rPr>
        <w:t>経営者</w:t>
      </w:r>
      <w:r w:rsidR="00BC6ADA">
        <w:rPr>
          <w:rFonts w:hint="eastAsia"/>
        </w:rPr>
        <w:t>には一定以上の</w:t>
      </w:r>
      <w:r>
        <w:rPr>
          <w:rFonts w:hint="eastAsia"/>
        </w:rPr>
        <w:t>自信が必要である</w:t>
      </w:r>
      <w:r w:rsidR="00BC6ADA">
        <w:rPr>
          <w:rFonts w:hint="eastAsia"/>
        </w:rPr>
        <w:t>といえる</w:t>
      </w:r>
      <w:r w:rsidR="009E753A">
        <w:rPr>
          <w:rFonts w:hint="eastAsia"/>
        </w:rPr>
        <w:t>もの</w:t>
      </w:r>
      <w:r>
        <w:rPr>
          <w:rFonts w:hint="eastAsia"/>
        </w:rPr>
        <w:t>の、</w:t>
      </w:r>
      <w:r w:rsidR="00BC6ADA">
        <w:rPr>
          <w:rFonts w:hint="eastAsia"/>
        </w:rPr>
        <w:t>その自信が</w:t>
      </w:r>
      <w:r>
        <w:rPr>
          <w:rFonts w:hint="eastAsia"/>
        </w:rPr>
        <w:t>行き過ぎ</w:t>
      </w:r>
      <w:r w:rsidR="00BC6ADA">
        <w:rPr>
          <w:rFonts w:hint="eastAsia"/>
        </w:rPr>
        <w:t>てしまうと過剰な投資を行ってしまい、企業価値を大きく損失させてしまうことにつながる。</w:t>
      </w:r>
      <w:r w:rsidR="00C827EC">
        <w:rPr>
          <w:rFonts w:hint="eastAsia"/>
        </w:rPr>
        <w:t>つまるところ、経営者の自信度合いというものは企業経営に大きく関わるものであり、それによって企業価値が大きく変動するのである。このようなことから</w:t>
      </w:r>
      <w:r w:rsidR="00BC6ADA">
        <w:rPr>
          <w:rFonts w:hint="eastAsia"/>
        </w:rPr>
        <w:t>投資家の立場</w:t>
      </w:r>
      <w:r w:rsidR="00C827EC">
        <w:rPr>
          <w:rFonts w:hint="eastAsia"/>
        </w:rPr>
        <w:t>から考えると、</w:t>
      </w:r>
      <w:r w:rsidR="00BC6ADA">
        <w:rPr>
          <w:rFonts w:hint="eastAsia"/>
        </w:rPr>
        <w:t>経営者の自信度合いは</w:t>
      </w:r>
      <w:r w:rsidR="00C827EC">
        <w:rPr>
          <w:rFonts w:hint="eastAsia"/>
        </w:rPr>
        <w:t>企業に投資するかどうかを決めるための</w:t>
      </w:r>
      <w:r w:rsidR="00BC6ADA">
        <w:rPr>
          <w:rFonts w:hint="eastAsia"/>
        </w:rPr>
        <w:t>重要なファクターであることが分か</w:t>
      </w:r>
      <w:r w:rsidR="00C827EC">
        <w:rPr>
          <w:rFonts w:hint="eastAsia"/>
        </w:rPr>
        <w:t>る。</w:t>
      </w:r>
      <w:r w:rsidR="004D065E">
        <w:rPr>
          <w:rFonts w:hint="eastAsia"/>
        </w:rPr>
        <w:t>経営者の自信が高ければより高いリターンを目指せるが、それが行き過ぎてしまうと大きな損害を被るというリスクがある。よって投資家としてある企業への株式投資を考えるとき、その企業の利益率やその企業が属する業界傾向だけでなく、経営者の自信度合いに対するリスクを考慮し、バランスよく投資ポートフォリオを組み立てる必要があるといえるだろう。その際は自信過剰な企業に投資するリスクを定量的に知っている必要があるが、</w:t>
      </w:r>
      <w:r w:rsidR="002B6177">
        <w:rPr>
          <w:rFonts w:hint="eastAsia"/>
        </w:rPr>
        <w:t>現在経営者の自信度合いに応じたリスク分析</w:t>
      </w:r>
      <w:r w:rsidR="00CD349B">
        <w:rPr>
          <w:rFonts w:hint="eastAsia"/>
        </w:rPr>
        <w:t>は現在あまり行われていない。</w:t>
      </w:r>
      <w:r w:rsidR="00C827EC">
        <w:rPr>
          <w:rFonts w:hint="eastAsia"/>
        </w:rPr>
        <w:t>よって</w:t>
      </w:r>
      <w:r>
        <w:rPr>
          <w:rFonts w:hint="eastAsia"/>
        </w:rPr>
        <w:t>、本レポートでは自信過剰な企業に投資することの</w:t>
      </w:r>
      <w:r w:rsidR="00CD349B">
        <w:rPr>
          <w:rFonts w:hint="eastAsia"/>
        </w:rPr>
        <w:t>リターンと</w:t>
      </w:r>
      <w:r>
        <w:rPr>
          <w:rFonts w:hint="eastAsia"/>
        </w:rPr>
        <w:t>リスク</w:t>
      </w:r>
      <w:r w:rsidR="00BE7289">
        <w:rPr>
          <w:rFonts w:hint="eastAsia"/>
        </w:rPr>
        <w:t>について</w:t>
      </w:r>
      <w:r w:rsidR="002B6177">
        <w:rPr>
          <w:rFonts w:hint="eastAsia"/>
        </w:rPr>
        <w:t>計量モデルを用いることによって</w:t>
      </w:r>
      <w:r>
        <w:rPr>
          <w:rFonts w:hint="eastAsia"/>
        </w:rPr>
        <w:t>定量的</w:t>
      </w:r>
      <w:r>
        <w:rPr>
          <w:rFonts w:hint="eastAsia"/>
        </w:rPr>
        <w:lastRenderedPageBreak/>
        <w:t>に</w:t>
      </w:r>
      <w:r w:rsidR="00CD349B">
        <w:rPr>
          <w:rFonts w:hint="eastAsia"/>
        </w:rPr>
        <w:t>示</w:t>
      </w:r>
      <w:r w:rsidR="00BE7289">
        <w:rPr>
          <w:rFonts w:hint="eastAsia"/>
        </w:rPr>
        <w:t>していく。本レポートの結果が</w:t>
      </w:r>
      <w:r w:rsidR="00CD349B">
        <w:rPr>
          <w:rFonts w:hint="eastAsia"/>
        </w:rPr>
        <w:t>投資家</w:t>
      </w:r>
      <w:r w:rsidR="00BE7289">
        <w:rPr>
          <w:rFonts w:hint="eastAsia"/>
        </w:rPr>
        <w:t>が投資戦略を考えるときの一助になることを願っている。</w:t>
      </w:r>
    </w:p>
    <w:p w14:paraId="1736645F" w14:textId="77777777" w:rsidR="003029F0" w:rsidRPr="00BE7289" w:rsidRDefault="003029F0"/>
    <w:p w14:paraId="1CB54856" w14:textId="77777777" w:rsidR="00CD349B" w:rsidRDefault="00CD349B">
      <w:r>
        <w:rPr>
          <w:rFonts w:hint="eastAsia"/>
        </w:rPr>
        <w:t>1.2 本レポートの流れ</w:t>
      </w:r>
    </w:p>
    <w:p w14:paraId="71A4CB14" w14:textId="77777777" w:rsidR="004D065E" w:rsidRDefault="00DB7920" w:rsidP="004D065E">
      <w:pPr>
        <w:ind w:firstLineChars="100" w:firstLine="210"/>
      </w:pPr>
      <w:r>
        <w:rPr>
          <w:rFonts w:hint="eastAsia"/>
        </w:rPr>
        <w:t>本</w:t>
      </w:r>
      <w:r w:rsidR="00CD349B">
        <w:rPr>
          <w:rFonts w:hint="eastAsia"/>
        </w:rPr>
        <w:t>レポート</w:t>
      </w:r>
      <w:r>
        <w:rPr>
          <w:rFonts w:hint="eastAsia"/>
        </w:rPr>
        <w:t>では</w:t>
      </w:r>
      <w:r w:rsidR="00CD349B">
        <w:rPr>
          <w:rFonts w:hint="eastAsia"/>
        </w:rPr>
        <w:t>上記のテーマ設定に基づき、自信過剰な上場企業を選出し</w:t>
      </w:r>
      <w:r w:rsidR="004D065E">
        <w:rPr>
          <w:rFonts w:hint="eastAsia"/>
        </w:rPr>
        <w:t>、</w:t>
      </w:r>
      <w:r w:rsidR="00CD349B">
        <w:rPr>
          <w:rFonts w:hint="eastAsia"/>
        </w:rPr>
        <w:t>そのような企業群に投資することのリスクを評価する。経営者の自信過剰度合いを推定する方法はいくつか考えられるが、本レポートでは定量的な分析を目指し</w:t>
      </w:r>
      <w:r w:rsidR="00750854">
        <w:rPr>
          <w:rFonts w:hint="eastAsia"/>
        </w:rPr>
        <w:t>、</w:t>
      </w:r>
      <w:r>
        <w:rPr>
          <w:rFonts w:hint="eastAsia"/>
        </w:rPr>
        <w:t>会計</w:t>
      </w:r>
      <w:r w:rsidR="00CD349B">
        <w:rPr>
          <w:rFonts w:hint="eastAsia"/>
        </w:rPr>
        <w:t>指標に基づ</w:t>
      </w:r>
      <w:r w:rsidR="00750854">
        <w:rPr>
          <w:rFonts w:hint="eastAsia"/>
        </w:rPr>
        <w:t>いた</w:t>
      </w:r>
      <w:r w:rsidR="00CD349B">
        <w:rPr>
          <w:rFonts w:hint="eastAsia"/>
        </w:rPr>
        <w:t>企業のスクリーニングを行</w:t>
      </w:r>
      <w:r w:rsidR="004D065E">
        <w:rPr>
          <w:rFonts w:hint="eastAsia"/>
        </w:rPr>
        <w:t>う</w:t>
      </w:r>
      <w:r w:rsidR="00CD349B">
        <w:rPr>
          <w:rFonts w:hint="eastAsia"/>
        </w:rPr>
        <w:t>。会計指標によって自信過剰な企業を選定した後は、</w:t>
      </w:r>
      <w:r>
        <w:rPr>
          <w:rFonts w:hint="eastAsia"/>
        </w:rPr>
        <w:t>最適投資ポートフォリオ戦略に基づき</w:t>
      </w:r>
      <w:r w:rsidR="00CD349B">
        <w:rPr>
          <w:rFonts w:hint="eastAsia"/>
        </w:rPr>
        <w:t>、</w:t>
      </w:r>
      <w:r>
        <w:rPr>
          <w:rFonts w:hint="eastAsia"/>
        </w:rPr>
        <w:t>シャープレシオが最大になるような</w:t>
      </w:r>
      <w:r w:rsidR="00B14689">
        <w:rPr>
          <w:rFonts w:hint="eastAsia"/>
        </w:rPr>
        <w:t>投資配分を決めることで</w:t>
      </w:r>
      <w:r w:rsidR="00CD349B">
        <w:rPr>
          <w:rFonts w:hint="eastAsia"/>
        </w:rPr>
        <w:t>、最も効率的な自信過剰な企業からなる投資</w:t>
      </w:r>
      <w:r>
        <w:rPr>
          <w:rFonts w:hint="eastAsia"/>
        </w:rPr>
        <w:t>ポートフォリオを作成した。</w:t>
      </w:r>
      <w:r w:rsidR="004D065E">
        <w:rPr>
          <w:rFonts w:hint="eastAsia"/>
        </w:rPr>
        <w:t>その後、作成した投資ポートフォリオの平均リターンとボラティリティを推定する。さらに本レポートでは2つの指標の相対的な大きさを知るために、日経225とランダムに企業を抽出し作成した投資ポートフォリオのリターンとボラティリティを用いて比較も行った。</w:t>
      </w:r>
    </w:p>
    <w:p w14:paraId="5A0FB52D" w14:textId="77777777" w:rsidR="00DB7920" w:rsidRDefault="009B4D20" w:rsidP="009B4D20">
      <w:pPr>
        <w:ind w:firstLineChars="100" w:firstLine="210"/>
      </w:pPr>
      <w:r>
        <w:rPr>
          <w:rFonts w:hint="eastAsia"/>
        </w:rPr>
        <w:t>分析の</w:t>
      </w:r>
      <w:r w:rsidR="00DB7920">
        <w:rPr>
          <w:rFonts w:hint="eastAsia"/>
        </w:rPr>
        <w:t>結果、日経225</w:t>
      </w:r>
      <w:r>
        <w:rPr>
          <w:rFonts w:hint="eastAsia"/>
        </w:rPr>
        <w:t>や</w:t>
      </w:r>
      <w:r w:rsidR="00DB7920">
        <w:rPr>
          <w:rFonts w:hint="eastAsia"/>
        </w:rPr>
        <w:t>ランダムポートフォリオよりも自信過剰な企業からなるポートフォリオの</w:t>
      </w:r>
      <w:r>
        <w:rPr>
          <w:rFonts w:hint="eastAsia"/>
        </w:rPr>
        <w:t>リターンと</w:t>
      </w:r>
      <w:r w:rsidR="00DB7920">
        <w:rPr>
          <w:rFonts w:hint="eastAsia"/>
        </w:rPr>
        <w:t>ボラティリティが</w:t>
      </w:r>
      <w:r>
        <w:rPr>
          <w:rFonts w:hint="eastAsia"/>
        </w:rPr>
        <w:t>ともに</w:t>
      </w:r>
      <w:r w:rsidR="00DB7920">
        <w:rPr>
          <w:rFonts w:hint="eastAsia"/>
        </w:rPr>
        <w:t>高い</w:t>
      </w:r>
      <w:r>
        <w:rPr>
          <w:rFonts w:hint="eastAsia"/>
        </w:rPr>
        <w:t>という</w:t>
      </w:r>
      <w:r w:rsidR="00DB7920">
        <w:rPr>
          <w:rFonts w:hint="eastAsia"/>
        </w:rPr>
        <w:t>ことが明らかになった。</w:t>
      </w:r>
      <w:r w:rsidR="00BE7289">
        <w:rPr>
          <w:rFonts w:hint="eastAsia"/>
        </w:rPr>
        <w:t>この</w:t>
      </w:r>
      <w:r w:rsidR="00DB7920">
        <w:rPr>
          <w:rFonts w:hint="eastAsia"/>
        </w:rPr>
        <w:t>結果</w:t>
      </w:r>
      <w:r>
        <w:rPr>
          <w:rFonts w:hint="eastAsia"/>
        </w:rPr>
        <w:t>より</w:t>
      </w:r>
      <w:r w:rsidR="00DB7920">
        <w:rPr>
          <w:rFonts w:hint="eastAsia"/>
        </w:rPr>
        <w:t>、自信過剰な企業に投資をすることは</w:t>
      </w:r>
      <w:r>
        <w:rPr>
          <w:rFonts w:hint="eastAsia"/>
        </w:rPr>
        <w:t>相対的に</w:t>
      </w:r>
      <w:r w:rsidR="00DB7920">
        <w:rPr>
          <w:rFonts w:hint="eastAsia"/>
        </w:rPr>
        <w:t>リスクが高い</w:t>
      </w:r>
      <w:r>
        <w:rPr>
          <w:rFonts w:hint="eastAsia"/>
        </w:rPr>
        <w:t>という</w:t>
      </w:r>
      <w:r w:rsidR="00DB7920">
        <w:rPr>
          <w:rFonts w:hint="eastAsia"/>
        </w:rPr>
        <w:t>ことが分かり、投資判断の際の一つの基準になる</w:t>
      </w:r>
      <w:r w:rsidR="00BE7289">
        <w:rPr>
          <w:rFonts w:hint="eastAsia"/>
        </w:rPr>
        <w:t>可能性</w:t>
      </w:r>
      <w:r>
        <w:rPr>
          <w:rFonts w:hint="eastAsia"/>
        </w:rPr>
        <w:t>が示唆された。</w:t>
      </w:r>
    </w:p>
    <w:p w14:paraId="27A66361" w14:textId="6E745F15" w:rsidR="00B14689" w:rsidRDefault="00ED5E4B" w:rsidP="00B14689">
      <w:pPr>
        <w:ind w:firstLineChars="100" w:firstLine="210"/>
      </w:pPr>
      <w:r>
        <w:rPr>
          <w:rFonts w:hint="eastAsia"/>
        </w:rPr>
        <w:t>以下、本レポートの構成は次のとおりである。</w:t>
      </w:r>
      <w:r w:rsidR="008F7083">
        <w:rPr>
          <w:rFonts w:hint="eastAsia"/>
        </w:rPr>
        <w:t>2章</w:t>
      </w:r>
      <w:r>
        <w:rPr>
          <w:rFonts w:hint="eastAsia"/>
        </w:rPr>
        <w:t>では、自信過剰な企業の会計にみられる特徴をあげ、どのような基準の下で企業をスクリーニングしたかを述べる。また最適ポートフォリオ理論について触れ、ウェイト付けの基準を説明する。</w:t>
      </w:r>
      <w:r w:rsidR="008F7083">
        <w:rPr>
          <w:rFonts w:hint="eastAsia"/>
        </w:rPr>
        <w:t>3章</w:t>
      </w:r>
      <w:r>
        <w:rPr>
          <w:rFonts w:hint="eastAsia"/>
        </w:rPr>
        <w:t>では、</w:t>
      </w:r>
      <w:r w:rsidR="009B4D20">
        <w:rPr>
          <w:rFonts w:hint="eastAsia"/>
        </w:rPr>
        <w:t>本レポートで用いた</w:t>
      </w:r>
      <w:r>
        <w:rPr>
          <w:rFonts w:hint="eastAsia"/>
        </w:rPr>
        <w:t>ボラティリティの推定方法について説明を述べる。</w:t>
      </w:r>
      <w:r w:rsidR="008F7083">
        <w:rPr>
          <w:rFonts w:hint="eastAsia"/>
        </w:rPr>
        <w:t>4章</w:t>
      </w:r>
      <w:r>
        <w:rPr>
          <w:rFonts w:hint="eastAsia"/>
        </w:rPr>
        <w:t>で</w:t>
      </w:r>
      <w:r w:rsidR="009B4D20">
        <w:rPr>
          <w:rFonts w:hint="eastAsia"/>
        </w:rPr>
        <w:t>は、</w:t>
      </w:r>
      <w:r>
        <w:rPr>
          <w:rFonts w:hint="eastAsia"/>
        </w:rPr>
        <w:t>分析結果について述べ</w:t>
      </w:r>
      <w:r w:rsidR="009B4D20">
        <w:rPr>
          <w:rFonts w:hint="eastAsia"/>
        </w:rPr>
        <w:t>、考察を述べる。最後に</w:t>
      </w:r>
      <w:r w:rsidR="008F7083">
        <w:rPr>
          <w:rFonts w:hint="eastAsia"/>
        </w:rPr>
        <w:t>5章</w:t>
      </w:r>
      <w:r w:rsidR="009B4D20">
        <w:rPr>
          <w:rFonts w:hint="eastAsia"/>
        </w:rPr>
        <w:t>で</w:t>
      </w:r>
      <w:r>
        <w:rPr>
          <w:rFonts w:hint="eastAsia"/>
        </w:rPr>
        <w:t>結論</w:t>
      </w:r>
      <w:r w:rsidR="009B4D20">
        <w:rPr>
          <w:rFonts w:hint="eastAsia"/>
        </w:rPr>
        <w:t>を述べるとともに、本レポートの課題と今後の研究の発展について述べる。</w:t>
      </w:r>
    </w:p>
    <w:p w14:paraId="353F4686" w14:textId="77777777" w:rsidR="00B14689" w:rsidRDefault="00B14689">
      <w:pPr>
        <w:widowControl/>
        <w:jc w:val="left"/>
      </w:pPr>
      <w:r>
        <w:br w:type="page"/>
      </w:r>
    </w:p>
    <w:p w14:paraId="578144B1" w14:textId="77777777" w:rsidR="00ED5E4B" w:rsidRDefault="00F71680" w:rsidP="00750854">
      <w:r>
        <w:rPr>
          <w:rFonts w:hint="eastAsia"/>
        </w:rPr>
        <w:lastRenderedPageBreak/>
        <w:t>2章</w:t>
      </w:r>
      <w:r w:rsidR="00FA5512">
        <w:rPr>
          <w:rFonts w:hint="eastAsia"/>
        </w:rPr>
        <w:t xml:space="preserve">　自信過剰な企業の選出とポートフォリオ構築</w:t>
      </w:r>
    </w:p>
    <w:p w14:paraId="1535151E" w14:textId="77777777" w:rsidR="00FA5512" w:rsidRPr="00750854" w:rsidRDefault="00FA5512"/>
    <w:p w14:paraId="3077D912" w14:textId="77777777" w:rsidR="00FA5512" w:rsidRDefault="00FA5512">
      <w:r>
        <w:rPr>
          <w:rFonts w:hint="eastAsia"/>
        </w:rPr>
        <w:t>2.1 自信過剰な企業の選出方法</w:t>
      </w:r>
    </w:p>
    <w:p w14:paraId="00CF51B9" w14:textId="77777777" w:rsidR="009B4D20" w:rsidRDefault="009B4D20">
      <w:r>
        <w:rPr>
          <w:rFonts w:hint="eastAsia"/>
        </w:rPr>
        <w:t xml:space="preserve">　本節では</w:t>
      </w:r>
      <w:r w:rsidR="00940B98">
        <w:rPr>
          <w:rFonts w:hint="eastAsia"/>
        </w:rPr>
        <w:t>まず</w:t>
      </w:r>
      <w:r>
        <w:rPr>
          <w:rFonts w:hint="eastAsia"/>
        </w:rPr>
        <w:t>自信過剰な企業を選定する上で用いた基準を具体的に述べるとともに、それぞれの会計指標におけるデータの特徴を</w:t>
      </w:r>
      <w:r w:rsidR="00940B98">
        <w:rPr>
          <w:rFonts w:hint="eastAsia"/>
        </w:rPr>
        <w:t>詳しく見ていく。その後、最適ポートフォリオ理論について述べ、ポートフォリオの重みづけの方法について述べるとともに、構成されたポートフォリオの価格とリターンを分析する。</w:t>
      </w:r>
    </w:p>
    <w:p w14:paraId="2C7ED2F1" w14:textId="77777777" w:rsidR="000155DD" w:rsidRPr="00B14689" w:rsidRDefault="00CF0C4B" w:rsidP="00B14689">
      <w:pPr>
        <w:ind w:firstLineChars="100" w:firstLine="210"/>
      </w:pPr>
      <w:r>
        <w:rPr>
          <w:rFonts w:hint="eastAsia"/>
        </w:rPr>
        <w:t>まず</w:t>
      </w:r>
      <w:r w:rsidR="00ED5E4B">
        <w:rPr>
          <w:rFonts w:hint="eastAsia"/>
        </w:rPr>
        <w:t>会計</w:t>
      </w:r>
      <w:r>
        <w:rPr>
          <w:rFonts w:hint="eastAsia"/>
        </w:rPr>
        <w:t>指標によるスクリーニングを行っていく。</w:t>
      </w:r>
      <w:r w:rsidR="004D065E">
        <w:rPr>
          <w:rFonts w:hint="eastAsia"/>
        </w:rPr>
        <w:t>基準となる会計指標は合計3つあり、</w:t>
      </w:r>
      <w:r>
        <w:rPr>
          <w:rFonts w:hint="eastAsia"/>
        </w:rPr>
        <w:t>全て項目において一定以上の基準を満たす企業を自信過剰な企業として選定する。</w:t>
      </w:r>
      <w:r w:rsidR="00B14689">
        <w:rPr>
          <w:rFonts w:hint="eastAsia"/>
        </w:rPr>
        <w:t>会計データは「</w:t>
      </w:r>
      <w:r w:rsidR="00B14689" w:rsidRPr="00E51416">
        <w:t xml:space="preserve">総合企業情報データベース </w:t>
      </w:r>
      <w:proofErr w:type="spellStart"/>
      <w:r w:rsidR="00B14689" w:rsidRPr="00E51416">
        <w:t>eol</w:t>
      </w:r>
      <w:proofErr w:type="spellEnd"/>
      <w:r w:rsidR="00B14689" w:rsidRPr="00E51416">
        <w:t>」</w:t>
      </w:r>
      <w:r w:rsidR="00143842">
        <w:rPr>
          <w:rStyle w:val="a8"/>
        </w:rPr>
        <w:footnoteReference w:id="1"/>
      </w:r>
      <w:r w:rsidR="00B14689">
        <w:rPr>
          <w:rFonts w:hint="eastAsia"/>
        </w:rPr>
        <w:t>より取得した。</w:t>
      </w:r>
    </w:p>
    <w:p w14:paraId="186F2BE4" w14:textId="77777777" w:rsidR="00E51416" w:rsidRDefault="0032664E" w:rsidP="000155DD">
      <w:pPr>
        <w:ind w:firstLineChars="100" w:firstLine="210"/>
      </w:pPr>
      <w:r>
        <w:rPr>
          <w:rFonts w:hint="eastAsia"/>
        </w:rPr>
        <w:t>まず</w:t>
      </w:r>
      <w:r w:rsidR="00CF0C4B">
        <w:rPr>
          <w:rFonts w:hint="eastAsia"/>
        </w:rPr>
        <w:t>一つ目の基準として、</w:t>
      </w:r>
      <w:r>
        <w:rPr>
          <w:rFonts w:hint="eastAsia"/>
        </w:rPr>
        <w:t>企業の負債比率</w:t>
      </w:r>
      <w:r w:rsidR="00CF0C4B">
        <w:rPr>
          <w:rFonts w:hint="eastAsia"/>
        </w:rPr>
        <w:t>を見る</w:t>
      </w:r>
      <w:r w:rsidR="005C64CA">
        <w:rPr>
          <w:rFonts w:hint="eastAsia"/>
        </w:rPr>
        <w:t>。</w:t>
      </w:r>
      <w:r w:rsidR="006644D5">
        <w:rPr>
          <w:rFonts w:hint="eastAsia"/>
        </w:rPr>
        <w:t>現在</w:t>
      </w:r>
      <w:r w:rsidR="00CF0C4B">
        <w:rPr>
          <w:rFonts w:hint="eastAsia"/>
        </w:rPr>
        <w:t>の</w:t>
      </w:r>
      <w:r w:rsidR="006644D5">
        <w:rPr>
          <w:rFonts w:hint="eastAsia"/>
        </w:rPr>
        <w:t>テーマ</w:t>
      </w:r>
      <w:r w:rsidR="00CF0C4B">
        <w:rPr>
          <w:rFonts w:hint="eastAsia"/>
        </w:rPr>
        <w:t>の前提として</w:t>
      </w:r>
      <w:r w:rsidR="006644D5">
        <w:rPr>
          <w:rFonts w:hint="eastAsia"/>
        </w:rPr>
        <w:t>自信過剰な企業は過剰な投資を行う</w:t>
      </w:r>
      <w:r w:rsidR="00CF0C4B">
        <w:rPr>
          <w:rFonts w:hint="eastAsia"/>
        </w:rPr>
        <w:t>ということを考えているため、まずは過剰な投資を行っている可能性が高い企業、すなわち負債比率が高い企業を選定していく。</w:t>
      </w:r>
      <w:r w:rsidR="00E51416">
        <w:rPr>
          <w:rFonts w:hint="eastAsia"/>
        </w:rPr>
        <w:t>図1は上場企業における負債比率をしたヒストグラムで、表1は負債比率の基本統計量である。スクリーニングする基準として、分布が大きく偏っていないことや、</w:t>
      </w:r>
      <w:r w:rsidR="000155DD">
        <w:rPr>
          <w:rFonts w:hint="eastAsia"/>
        </w:rPr>
        <w:t>極端な値を取っていることがないことから負債比率が</w:t>
      </w:r>
      <w:r w:rsidR="00E51416">
        <w:rPr>
          <w:rFonts w:hint="eastAsia"/>
        </w:rPr>
        <w:t>上位50％の</w:t>
      </w:r>
      <w:r w:rsidR="000155DD">
        <w:rPr>
          <w:rFonts w:hint="eastAsia"/>
        </w:rPr>
        <w:t>企業を選択することにした。</w:t>
      </w:r>
    </w:p>
    <w:p w14:paraId="7BF37B9D" w14:textId="77777777" w:rsidR="0032664E" w:rsidRDefault="00E51416" w:rsidP="00E51416">
      <w:pPr>
        <w:jc w:val="center"/>
      </w:pPr>
      <w:r>
        <w:rPr>
          <w:rFonts w:hint="eastAsia"/>
          <w:noProof/>
        </w:rPr>
        <w:drawing>
          <wp:inline distT="0" distB="0" distL="0" distR="0" wp14:anchorId="78724D96" wp14:editId="54176B3A">
            <wp:extent cx="3283888" cy="2341948"/>
            <wp:effectExtent l="0" t="0" r="0" b="1270"/>
            <wp:docPr id="1581941365"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41365" name="図 1581941365"/>
                    <pic:cNvPicPr/>
                  </pic:nvPicPr>
                  <pic:blipFill>
                    <a:blip r:embed="rId8">
                      <a:extLst>
                        <a:ext uri="{28A0092B-C50C-407E-A947-70E740481C1C}">
                          <a14:useLocalDpi xmlns:a14="http://schemas.microsoft.com/office/drawing/2010/main" val="0"/>
                        </a:ext>
                      </a:extLst>
                    </a:blip>
                    <a:stretch>
                      <a:fillRect/>
                    </a:stretch>
                  </pic:blipFill>
                  <pic:spPr>
                    <a:xfrm>
                      <a:off x="0" y="0"/>
                      <a:ext cx="3293052" cy="2348483"/>
                    </a:xfrm>
                    <a:prstGeom prst="rect">
                      <a:avLst/>
                    </a:prstGeom>
                  </pic:spPr>
                </pic:pic>
              </a:graphicData>
            </a:graphic>
          </wp:inline>
        </w:drawing>
      </w:r>
    </w:p>
    <w:p w14:paraId="46DA3DEB" w14:textId="77777777" w:rsidR="00767C00" w:rsidRDefault="00E51416" w:rsidP="00767C00">
      <w:pPr>
        <w:jc w:val="center"/>
      </w:pPr>
      <w:r>
        <w:rPr>
          <w:rFonts w:hint="eastAsia"/>
        </w:rPr>
        <w:t>図1　上場企業の負債比率に関するヒストグラム</w:t>
      </w:r>
    </w:p>
    <w:p w14:paraId="3D86369D" w14:textId="77777777" w:rsidR="00143842" w:rsidRPr="00143842" w:rsidRDefault="00143842" w:rsidP="00143842">
      <w:pPr>
        <w:jc w:val="center"/>
      </w:pPr>
      <w:r>
        <w:rPr>
          <w:rFonts w:hint="eastAsia"/>
        </w:rPr>
        <w:t>(</w:t>
      </w:r>
      <w:r w:rsidRPr="00143842">
        <w:t xml:space="preserve">企業情報データベース </w:t>
      </w:r>
      <w:proofErr w:type="spellStart"/>
      <w:r w:rsidRPr="00143842">
        <w:t>eol</w:t>
      </w:r>
      <w:proofErr w:type="spellEnd"/>
      <w:r>
        <w:rPr>
          <w:rFonts w:hint="eastAsia"/>
        </w:rPr>
        <w:t xml:space="preserve"> 「純資産比率」より筆者作成)</w:t>
      </w:r>
    </w:p>
    <w:p w14:paraId="60EA017F" w14:textId="77777777" w:rsidR="00E51416" w:rsidRDefault="00E51416" w:rsidP="000155DD"/>
    <w:p w14:paraId="0C484486" w14:textId="77777777" w:rsidR="00767C00" w:rsidRDefault="00E51416" w:rsidP="00767C00">
      <w:pPr>
        <w:jc w:val="center"/>
      </w:pPr>
      <w:r>
        <w:rPr>
          <w:rFonts w:hint="eastAsia"/>
        </w:rPr>
        <w:t xml:space="preserve">表1 　</w:t>
      </w:r>
      <w:r w:rsidR="00607FF7">
        <w:rPr>
          <w:rFonts w:hint="eastAsia"/>
        </w:rPr>
        <w:t>上場企業の負債比率に関する</w:t>
      </w:r>
      <w:r w:rsidR="00767C00">
        <w:rPr>
          <w:rFonts w:hint="eastAsia"/>
        </w:rPr>
        <w:t>基本統計量</w:t>
      </w:r>
    </w:p>
    <w:tbl>
      <w:tblPr>
        <w:tblStyle w:val="a5"/>
        <w:tblW w:w="0" w:type="auto"/>
        <w:jc w:val="center"/>
        <w:tblLook w:val="04A0" w:firstRow="1" w:lastRow="0" w:firstColumn="1" w:lastColumn="0" w:noHBand="0" w:noVBand="1"/>
      </w:tblPr>
      <w:tblGrid>
        <w:gridCol w:w="1110"/>
        <w:gridCol w:w="1110"/>
        <w:gridCol w:w="1110"/>
        <w:gridCol w:w="1110"/>
        <w:gridCol w:w="1111"/>
        <w:gridCol w:w="1111"/>
        <w:gridCol w:w="1080"/>
      </w:tblGrid>
      <w:tr w:rsidR="00767C00" w14:paraId="52649C8F" w14:textId="77777777" w:rsidTr="003E73CF">
        <w:trPr>
          <w:jc w:val="center"/>
        </w:trPr>
        <w:tc>
          <w:tcPr>
            <w:tcW w:w="1110" w:type="dxa"/>
          </w:tcPr>
          <w:p w14:paraId="4B7984EC" w14:textId="77777777" w:rsidR="00767C00" w:rsidRDefault="00767C00" w:rsidP="003E73CF">
            <w:pPr>
              <w:jc w:val="center"/>
            </w:pPr>
            <w:r>
              <w:rPr>
                <w:rFonts w:hint="eastAsia"/>
              </w:rPr>
              <w:t>平均</w:t>
            </w:r>
          </w:p>
        </w:tc>
        <w:tc>
          <w:tcPr>
            <w:tcW w:w="1110" w:type="dxa"/>
          </w:tcPr>
          <w:p w14:paraId="0FED2D13" w14:textId="77777777" w:rsidR="00767C00" w:rsidRDefault="00767C00" w:rsidP="003E73CF">
            <w:pPr>
              <w:jc w:val="center"/>
            </w:pPr>
            <w:r>
              <w:rPr>
                <w:rFonts w:hint="eastAsia"/>
              </w:rPr>
              <w:t>中央値</w:t>
            </w:r>
          </w:p>
        </w:tc>
        <w:tc>
          <w:tcPr>
            <w:tcW w:w="1110" w:type="dxa"/>
          </w:tcPr>
          <w:p w14:paraId="18E6F57E" w14:textId="77777777" w:rsidR="00767C00" w:rsidRDefault="00767C00" w:rsidP="003E73CF">
            <w:pPr>
              <w:jc w:val="center"/>
            </w:pPr>
            <w:r>
              <w:rPr>
                <w:rFonts w:hint="eastAsia"/>
              </w:rPr>
              <w:t>標準誤差</w:t>
            </w:r>
          </w:p>
        </w:tc>
        <w:tc>
          <w:tcPr>
            <w:tcW w:w="1110" w:type="dxa"/>
          </w:tcPr>
          <w:p w14:paraId="6F64901A" w14:textId="77777777" w:rsidR="00767C00" w:rsidRDefault="00767C00" w:rsidP="003E73CF">
            <w:pPr>
              <w:jc w:val="center"/>
            </w:pPr>
            <w:r>
              <w:rPr>
                <w:rFonts w:hint="eastAsia"/>
              </w:rPr>
              <w:t>最大値</w:t>
            </w:r>
          </w:p>
        </w:tc>
        <w:tc>
          <w:tcPr>
            <w:tcW w:w="1111" w:type="dxa"/>
          </w:tcPr>
          <w:p w14:paraId="7FF93186" w14:textId="77777777" w:rsidR="00767C00" w:rsidRDefault="00767C00" w:rsidP="003E73CF">
            <w:pPr>
              <w:jc w:val="center"/>
            </w:pPr>
            <w:r>
              <w:rPr>
                <w:rFonts w:hint="eastAsia"/>
              </w:rPr>
              <w:t>最小値</w:t>
            </w:r>
          </w:p>
        </w:tc>
        <w:tc>
          <w:tcPr>
            <w:tcW w:w="1111" w:type="dxa"/>
          </w:tcPr>
          <w:p w14:paraId="15EDDA18" w14:textId="77777777" w:rsidR="00767C00" w:rsidRDefault="00767C00" w:rsidP="003E73CF">
            <w:pPr>
              <w:jc w:val="center"/>
            </w:pPr>
            <w:r>
              <w:rPr>
                <w:rFonts w:hint="eastAsia"/>
              </w:rPr>
              <w:t>歪度</w:t>
            </w:r>
          </w:p>
        </w:tc>
        <w:tc>
          <w:tcPr>
            <w:tcW w:w="1080" w:type="dxa"/>
          </w:tcPr>
          <w:p w14:paraId="60D47A4C" w14:textId="77777777" w:rsidR="00767C00" w:rsidRDefault="00767C00" w:rsidP="003E73CF">
            <w:pPr>
              <w:jc w:val="center"/>
            </w:pPr>
            <w:r>
              <w:rPr>
                <w:rFonts w:hint="eastAsia"/>
              </w:rPr>
              <w:t>尖度</w:t>
            </w:r>
          </w:p>
        </w:tc>
      </w:tr>
      <w:tr w:rsidR="00767C00" w14:paraId="126EF1BE" w14:textId="77777777" w:rsidTr="003E73CF">
        <w:trPr>
          <w:jc w:val="center"/>
        </w:trPr>
        <w:tc>
          <w:tcPr>
            <w:tcW w:w="1110" w:type="dxa"/>
          </w:tcPr>
          <w:p w14:paraId="78D709D0" w14:textId="77777777" w:rsidR="00767C00" w:rsidRDefault="00767C00" w:rsidP="003E73CF">
            <w:pPr>
              <w:jc w:val="center"/>
            </w:pPr>
            <w:r>
              <w:rPr>
                <w:rFonts w:hint="eastAsia"/>
              </w:rPr>
              <w:t>0.4554</w:t>
            </w:r>
          </w:p>
        </w:tc>
        <w:tc>
          <w:tcPr>
            <w:tcW w:w="1110" w:type="dxa"/>
          </w:tcPr>
          <w:p w14:paraId="6CA07808" w14:textId="77777777" w:rsidR="00767C00" w:rsidRDefault="00767C00" w:rsidP="003E73CF">
            <w:pPr>
              <w:jc w:val="center"/>
            </w:pPr>
            <w:r>
              <w:rPr>
                <w:rFonts w:hint="eastAsia"/>
              </w:rPr>
              <w:t>0.4445</w:t>
            </w:r>
          </w:p>
        </w:tc>
        <w:tc>
          <w:tcPr>
            <w:tcW w:w="1110" w:type="dxa"/>
          </w:tcPr>
          <w:p w14:paraId="6329B454" w14:textId="77777777" w:rsidR="00767C00" w:rsidRDefault="00767C00" w:rsidP="003E73CF">
            <w:pPr>
              <w:jc w:val="center"/>
            </w:pPr>
            <w:r>
              <w:rPr>
                <w:rFonts w:hint="eastAsia"/>
              </w:rPr>
              <w:t>0.1972</w:t>
            </w:r>
          </w:p>
        </w:tc>
        <w:tc>
          <w:tcPr>
            <w:tcW w:w="1110" w:type="dxa"/>
          </w:tcPr>
          <w:p w14:paraId="51F7EA3C" w14:textId="77777777" w:rsidR="00767C00" w:rsidRDefault="00767C00" w:rsidP="003E73CF">
            <w:pPr>
              <w:jc w:val="center"/>
            </w:pPr>
            <w:r>
              <w:rPr>
                <w:rFonts w:hint="eastAsia"/>
              </w:rPr>
              <w:t>0.996</w:t>
            </w:r>
          </w:p>
        </w:tc>
        <w:tc>
          <w:tcPr>
            <w:tcW w:w="1111" w:type="dxa"/>
          </w:tcPr>
          <w:p w14:paraId="2EE1D2F8" w14:textId="77777777" w:rsidR="00767C00" w:rsidRDefault="00767C00" w:rsidP="003E73CF">
            <w:pPr>
              <w:jc w:val="center"/>
            </w:pPr>
            <w:r>
              <w:rPr>
                <w:rFonts w:hint="eastAsia"/>
              </w:rPr>
              <w:t>0.031</w:t>
            </w:r>
          </w:p>
        </w:tc>
        <w:tc>
          <w:tcPr>
            <w:tcW w:w="1111" w:type="dxa"/>
          </w:tcPr>
          <w:p w14:paraId="28673F66" w14:textId="77777777" w:rsidR="00767C00" w:rsidRDefault="00767C00" w:rsidP="003E73CF">
            <w:pPr>
              <w:jc w:val="center"/>
            </w:pPr>
            <w:r>
              <w:rPr>
                <w:rFonts w:hint="eastAsia"/>
              </w:rPr>
              <w:t>0.3928</w:t>
            </w:r>
          </w:p>
        </w:tc>
        <w:tc>
          <w:tcPr>
            <w:tcW w:w="1080" w:type="dxa"/>
          </w:tcPr>
          <w:p w14:paraId="1BF7F496" w14:textId="77777777" w:rsidR="00767C00" w:rsidRDefault="00767C00" w:rsidP="003E73CF">
            <w:pPr>
              <w:jc w:val="center"/>
            </w:pPr>
            <w:r>
              <w:rPr>
                <w:rFonts w:hint="eastAsia"/>
              </w:rPr>
              <w:t>2.6866</w:t>
            </w:r>
          </w:p>
        </w:tc>
      </w:tr>
    </w:tbl>
    <w:p w14:paraId="453CB1EE" w14:textId="77777777" w:rsidR="00143842" w:rsidRPr="006644D5" w:rsidRDefault="00143842" w:rsidP="00143842"/>
    <w:p w14:paraId="4482E23C" w14:textId="77777777" w:rsidR="008A1EE2" w:rsidRDefault="000155DD">
      <w:r>
        <w:rPr>
          <w:rFonts w:hint="eastAsia"/>
        </w:rPr>
        <w:lastRenderedPageBreak/>
        <w:t xml:space="preserve">　次に2つ目の基準として、経営者の楽観性指数を用いた。楽観性指数の定式化について</w:t>
      </w:r>
      <w:r w:rsidR="008A1EE2">
        <w:rPr>
          <w:rFonts w:hint="eastAsia"/>
        </w:rPr>
        <w:t>太田(2019)</w:t>
      </w:r>
      <w:r>
        <w:rPr>
          <w:rFonts w:hint="eastAsia"/>
        </w:rPr>
        <w:t>を参照した。太田(2019)</w:t>
      </w:r>
      <w:r w:rsidR="008A1EE2">
        <w:rPr>
          <w:rFonts w:hint="eastAsia"/>
        </w:rPr>
        <w:t>では</w:t>
      </w:r>
      <w:r>
        <w:rPr>
          <w:rFonts w:hint="eastAsia"/>
        </w:rPr>
        <w:t>Skala(2008)やHribar and Yang(2016)に基づき、</w:t>
      </w:r>
      <w:r w:rsidR="008A1EE2">
        <w:rPr>
          <w:rFonts w:hint="eastAsia"/>
        </w:rPr>
        <w:t>経営者の自信過剰の程度を経営者利益予想に注目することで定量化している。</w:t>
      </w:r>
      <w:r>
        <w:rPr>
          <w:rFonts w:hint="eastAsia"/>
        </w:rPr>
        <w:t>太田(2019)は上場企業が決算短信で報告している</w:t>
      </w:r>
      <w:r w:rsidR="008A1EE2">
        <w:rPr>
          <w:rFonts w:hint="eastAsia"/>
        </w:rPr>
        <w:t>経営者利益予想</w:t>
      </w:r>
      <w:r>
        <w:rPr>
          <w:rFonts w:hint="eastAsia"/>
        </w:rPr>
        <w:t>を</w:t>
      </w:r>
      <w:r w:rsidR="008A1EE2">
        <w:rPr>
          <w:rFonts w:hint="eastAsia"/>
        </w:rPr>
        <w:t>利益実績値が</w:t>
      </w:r>
      <w:r>
        <w:rPr>
          <w:rFonts w:hint="eastAsia"/>
        </w:rPr>
        <w:t>どの程度下回るかによって企業の利益に対する楽観度合い、ひいては経営者の自信過剰度合いを測れると主張する。</w:t>
      </w:r>
      <w:r w:rsidR="00D164BC">
        <w:rPr>
          <w:rFonts w:hint="eastAsia"/>
        </w:rPr>
        <w:t>この考えに基づき</w:t>
      </w:r>
      <w:r w:rsidR="008A1EE2">
        <w:rPr>
          <w:rFonts w:hint="eastAsia"/>
        </w:rPr>
        <w:t>太田(2019)は自信過剰を</w:t>
      </w:r>
      <w:r>
        <w:rPr>
          <w:rFonts w:hint="eastAsia"/>
        </w:rPr>
        <w:t>つぎ</w:t>
      </w:r>
      <w:r w:rsidR="008A1EE2">
        <w:rPr>
          <w:rFonts w:hint="eastAsia"/>
        </w:rPr>
        <w:t>のように定式化</w:t>
      </w:r>
      <w:r w:rsidR="00D164BC">
        <w:rPr>
          <w:rFonts w:hint="eastAsia"/>
        </w:rPr>
        <w:t>している。</w:t>
      </w:r>
    </w:p>
    <w:p w14:paraId="6C2DEB6A" w14:textId="77777777" w:rsidR="00D164BC" w:rsidRDefault="00D164BC"/>
    <w:p w14:paraId="38AD369F" w14:textId="77777777" w:rsidR="00D164BC" w:rsidRDefault="008A1EE2" w:rsidP="00D164BC">
      <m:oMathPara>
        <m:oMath>
          <m:r>
            <w:rPr>
              <w:rFonts w:ascii="Cambria Math" w:hAnsi="Cambria Math"/>
            </w:rPr>
            <m:t>Optimism=</m:t>
          </m:r>
          <m:d>
            <m:dPr>
              <m:ctrlPr>
                <w:rPr>
                  <w:rFonts w:ascii="Cambria Math" w:hAnsi="Cambria Math"/>
                  <w:i/>
                </w:rPr>
              </m:ctrlPr>
            </m:dPr>
            <m:e>
              <m:r>
                <w:rPr>
                  <w:rFonts w:ascii="Cambria Math" w:hAnsi="Cambria Math"/>
                </w:rPr>
                <m:t>MFE-RE</m:t>
              </m:r>
            </m:e>
          </m:d>
          <m:r>
            <w:rPr>
              <w:rFonts w:ascii="Cambria Math" w:hAnsi="Cambria Math" w:hint="eastAsia"/>
            </w:rPr>
            <m:t>÷</m:t>
          </m:r>
          <m:r>
            <w:rPr>
              <w:rFonts w:ascii="Cambria Math" w:hAnsi="Cambria Math"/>
            </w:rPr>
            <m:t>TA</m:t>
          </m:r>
        </m:oMath>
      </m:oMathPara>
    </w:p>
    <w:p w14:paraId="68154801" w14:textId="77777777" w:rsidR="00D164BC" w:rsidRDefault="008A1EE2" w:rsidP="00D164BC">
      <w:pPr>
        <w:jc w:val="center"/>
      </w:pPr>
      <w:r>
        <w:rPr>
          <w:rFonts w:hint="eastAsia"/>
        </w:rPr>
        <w:t>MFE</w:t>
      </w:r>
      <w:r w:rsidR="00D164BC">
        <w:rPr>
          <w:rFonts w:hint="eastAsia"/>
        </w:rPr>
        <w:t xml:space="preserve"> : </w:t>
      </w:r>
      <w:r>
        <w:rPr>
          <w:rFonts w:hint="eastAsia"/>
        </w:rPr>
        <w:t>期初利益予想値</w:t>
      </w:r>
      <w:r w:rsidR="00D164BC">
        <w:rPr>
          <w:rFonts w:hint="eastAsia"/>
        </w:rPr>
        <w:t xml:space="preserve"> , </w:t>
      </w:r>
      <w:r>
        <w:rPr>
          <w:rFonts w:hint="eastAsia"/>
        </w:rPr>
        <w:t>RE</w:t>
      </w:r>
      <w:r w:rsidR="00D164BC">
        <w:rPr>
          <w:rFonts w:hint="eastAsia"/>
        </w:rPr>
        <w:t xml:space="preserve"> : </w:t>
      </w:r>
      <w:r>
        <w:rPr>
          <w:rFonts w:hint="eastAsia"/>
        </w:rPr>
        <w:t>利益実績値</w:t>
      </w:r>
      <w:r w:rsidR="00D164BC">
        <w:rPr>
          <w:rFonts w:hint="eastAsia"/>
        </w:rPr>
        <w:t xml:space="preserve">  , </w:t>
      </w:r>
      <w:r>
        <w:rPr>
          <w:rFonts w:hint="eastAsia"/>
        </w:rPr>
        <w:t>TA</w:t>
      </w:r>
      <w:r w:rsidR="00D164BC">
        <w:rPr>
          <w:rFonts w:hint="eastAsia"/>
        </w:rPr>
        <w:t>:</w:t>
      </w:r>
      <w:r>
        <w:rPr>
          <w:rFonts w:hint="eastAsia"/>
        </w:rPr>
        <w:t>総資産</w:t>
      </w:r>
    </w:p>
    <w:p w14:paraId="13782AD4" w14:textId="77777777" w:rsidR="00D164BC" w:rsidRDefault="00D164BC" w:rsidP="00D164BC">
      <w:pPr>
        <w:jc w:val="center"/>
      </w:pPr>
    </w:p>
    <w:p w14:paraId="040FC00A" w14:textId="77777777" w:rsidR="00ED5E4B" w:rsidRDefault="00D164BC" w:rsidP="00D164BC">
      <w:pPr>
        <w:ind w:firstLineChars="100" w:firstLine="210"/>
      </w:pPr>
      <w:r>
        <w:rPr>
          <w:rFonts w:hint="eastAsia"/>
        </w:rPr>
        <w:t>上記の式について太田(2019)は、</w:t>
      </w:r>
      <w:r w:rsidR="008A1EE2">
        <w:t>O</w:t>
      </w:r>
      <w:r w:rsidR="008A1EE2">
        <w:rPr>
          <w:rFonts w:hint="eastAsia"/>
        </w:rPr>
        <w:t>ptimismの正の値が大きいほど経営者の楽観性の程度が大きいことを</w:t>
      </w:r>
      <w:r>
        <w:rPr>
          <w:rFonts w:hint="eastAsia"/>
        </w:rPr>
        <w:t>示しており</w:t>
      </w:r>
      <w:r w:rsidR="00BA78C2">
        <w:rPr>
          <w:rFonts w:hint="eastAsia"/>
        </w:rPr>
        <w:t>、それは</w:t>
      </w:r>
      <w:r w:rsidR="000F781F">
        <w:rPr>
          <w:rFonts w:hint="eastAsia"/>
        </w:rPr>
        <w:t>つまり</w:t>
      </w:r>
      <w:r w:rsidR="00BA78C2">
        <w:rPr>
          <w:rFonts w:hint="eastAsia"/>
        </w:rPr>
        <w:t>経営者の自信過剰の程度が大きいことを示</w:t>
      </w:r>
      <w:r>
        <w:rPr>
          <w:rFonts w:hint="eastAsia"/>
        </w:rPr>
        <w:t>していると述べている。</w:t>
      </w:r>
    </w:p>
    <w:p w14:paraId="6B46FBDF" w14:textId="77777777" w:rsidR="00BA78C2" w:rsidRDefault="00BA78C2" w:rsidP="00D164BC">
      <w:pPr>
        <w:ind w:firstLineChars="100" w:firstLine="210"/>
      </w:pPr>
      <w:r>
        <w:rPr>
          <w:rFonts w:hint="eastAsia"/>
        </w:rPr>
        <w:t>本レポートでは</w:t>
      </w:r>
      <w:r w:rsidR="00D164BC">
        <w:rPr>
          <w:rFonts w:hint="eastAsia"/>
        </w:rPr>
        <w:t>太田(2019)に倣い、利益予想値と利益実績値の差に</w:t>
      </w:r>
      <w:r>
        <w:rPr>
          <w:rFonts w:hint="eastAsia"/>
        </w:rPr>
        <w:t>上場企業の</w:t>
      </w:r>
      <w:r w:rsidR="00D164BC">
        <w:rPr>
          <w:rFonts w:hint="eastAsia"/>
        </w:rPr>
        <w:t>自信過剰度合いがあると考え</w:t>
      </w:r>
      <w:r>
        <w:rPr>
          <w:rFonts w:hint="eastAsia"/>
        </w:rPr>
        <w:t>、それに基づいて企業のスクリーニングを行う。</w:t>
      </w:r>
      <w:r w:rsidR="00D164BC">
        <w:rPr>
          <w:rFonts w:hint="eastAsia"/>
        </w:rPr>
        <w:t>太田(2019)では「利益」について経常利益と当期純利益の2つから分析を行っていたが、</w:t>
      </w:r>
      <w:r>
        <w:rPr>
          <w:rFonts w:hint="eastAsia"/>
        </w:rPr>
        <w:t>本レポートでは経常利益</w:t>
      </w:r>
      <w:r w:rsidR="00D164BC">
        <w:rPr>
          <w:rFonts w:hint="eastAsia"/>
        </w:rPr>
        <w:t>のみ</w:t>
      </w:r>
      <w:r>
        <w:rPr>
          <w:rFonts w:hint="eastAsia"/>
        </w:rPr>
        <w:t>を用い</w:t>
      </w:r>
      <w:r w:rsidR="00D164BC">
        <w:rPr>
          <w:rFonts w:hint="eastAsia"/>
        </w:rPr>
        <w:t>て分析を行った。</w:t>
      </w:r>
    </w:p>
    <w:p w14:paraId="1D399BB7" w14:textId="77777777" w:rsidR="00BA78C2" w:rsidRDefault="00D164BC" w:rsidP="00D164BC">
      <w:pPr>
        <w:ind w:firstLineChars="100" w:firstLine="210"/>
      </w:pPr>
      <w:r>
        <w:rPr>
          <w:rFonts w:hint="eastAsia"/>
        </w:rPr>
        <w:t>図2と表2が</w:t>
      </w:r>
      <w:r w:rsidR="00BA78C2">
        <w:rPr>
          <w:rFonts w:hint="eastAsia"/>
        </w:rPr>
        <w:t>上場企業</w:t>
      </w:r>
      <w:r>
        <w:rPr>
          <w:rFonts w:hint="eastAsia"/>
        </w:rPr>
        <w:t>における</w:t>
      </w:r>
      <w:r w:rsidR="00BA78C2">
        <w:rPr>
          <w:rFonts w:hint="eastAsia"/>
        </w:rPr>
        <w:t>企業の楽観性</w:t>
      </w:r>
      <w:r>
        <w:rPr>
          <w:rFonts w:hint="eastAsia"/>
        </w:rPr>
        <w:t>度合いを表した</w:t>
      </w:r>
      <w:r w:rsidR="00BA78C2">
        <w:rPr>
          <w:rFonts w:hint="eastAsia"/>
        </w:rPr>
        <w:t>データ分布である。</w:t>
      </w:r>
    </w:p>
    <w:p w14:paraId="46177F24" w14:textId="77777777" w:rsidR="00D164BC" w:rsidRDefault="00D164BC" w:rsidP="00D164BC">
      <w:pPr>
        <w:ind w:firstLineChars="100" w:firstLine="210"/>
        <w:jc w:val="center"/>
      </w:pPr>
      <w:r>
        <w:rPr>
          <w:rFonts w:hint="eastAsia"/>
          <w:noProof/>
        </w:rPr>
        <w:drawing>
          <wp:inline distT="0" distB="0" distL="0" distR="0" wp14:anchorId="2179741A" wp14:editId="4B67CFBA">
            <wp:extent cx="3873260" cy="2762266"/>
            <wp:effectExtent l="0" t="0" r="0" b="0"/>
            <wp:docPr id="1696387686"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87686" name="図 1696387686"/>
                    <pic:cNvPicPr/>
                  </pic:nvPicPr>
                  <pic:blipFill>
                    <a:blip r:embed="rId9">
                      <a:extLst>
                        <a:ext uri="{28A0092B-C50C-407E-A947-70E740481C1C}">
                          <a14:useLocalDpi xmlns:a14="http://schemas.microsoft.com/office/drawing/2010/main" val="0"/>
                        </a:ext>
                      </a:extLst>
                    </a:blip>
                    <a:stretch>
                      <a:fillRect/>
                    </a:stretch>
                  </pic:blipFill>
                  <pic:spPr>
                    <a:xfrm>
                      <a:off x="0" y="0"/>
                      <a:ext cx="3881343" cy="2768030"/>
                    </a:xfrm>
                    <a:prstGeom prst="rect">
                      <a:avLst/>
                    </a:prstGeom>
                  </pic:spPr>
                </pic:pic>
              </a:graphicData>
            </a:graphic>
          </wp:inline>
        </w:drawing>
      </w:r>
    </w:p>
    <w:p w14:paraId="0E7562BF" w14:textId="77777777" w:rsidR="00D164BC" w:rsidRPr="00D164BC" w:rsidRDefault="00D164BC" w:rsidP="00D164BC">
      <w:pPr>
        <w:ind w:firstLineChars="100" w:firstLine="210"/>
        <w:jc w:val="center"/>
      </w:pPr>
      <w:r>
        <w:rPr>
          <w:rFonts w:hint="eastAsia"/>
        </w:rPr>
        <w:t>図2 上場企業のOptimismに関するヒストグラム</w:t>
      </w:r>
      <w:r w:rsidR="00FA5512">
        <w:rPr>
          <w:rFonts w:hint="eastAsia"/>
        </w:rPr>
        <w:t>(単位 ％)</w:t>
      </w:r>
    </w:p>
    <w:p w14:paraId="4859E49F" w14:textId="77777777" w:rsidR="00FB1CA8" w:rsidRPr="00143842" w:rsidRDefault="00FB1CA8" w:rsidP="00FB1CA8">
      <w:pPr>
        <w:jc w:val="center"/>
      </w:pPr>
      <w:r>
        <w:rPr>
          <w:rFonts w:hint="eastAsia"/>
        </w:rPr>
        <w:t>(</w:t>
      </w:r>
      <w:r w:rsidRPr="00143842">
        <w:t xml:space="preserve">企業情報データベース </w:t>
      </w:r>
      <w:proofErr w:type="spellStart"/>
      <w:r w:rsidRPr="00143842">
        <w:t>eol</w:t>
      </w:r>
      <w:proofErr w:type="spellEnd"/>
      <w:r>
        <w:rPr>
          <w:rFonts w:hint="eastAsia"/>
        </w:rPr>
        <w:t xml:space="preserve"> 「予想ー経常利益[百万円]」,「実績ー経常利益[百万円]」,「実績ー総資産[百万円]」より筆者作成)</w:t>
      </w:r>
    </w:p>
    <w:p w14:paraId="3BA47A2F" w14:textId="77777777" w:rsidR="00ED5E4B" w:rsidRPr="00FB1CA8" w:rsidRDefault="00ED5E4B" w:rsidP="00BA78C2">
      <w:pPr>
        <w:jc w:val="center"/>
      </w:pPr>
    </w:p>
    <w:p w14:paraId="2FF02F6C" w14:textId="77777777" w:rsidR="00D354AF" w:rsidRDefault="00D354AF"/>
    <w:p w14:paraId="2C580D9D" w14:textId="77777777" w:rsidR="00D354AF" w:rsidRDefault="00D164BC" w:rsidP="0032664E">
      <w:pPr>
        <w:jc w:val="center"/>
      </w:pPr>
      <w:r>
        <w:rPr>
          <w:rFonts w:hint="eastAsia"/>
        </w:rPr>
        <w:lastRenderedPageBreak/>
        <w:t xml:space="preserve">表2  </w:t>
      </w:r>
      <w:r w:rsidR="00607FF7">
        <w:rPr>
          <w:rFonts w:hint="eastAsia"/>
        </w:rPr>
        <w:t>上場企業のOptimismに関する</w:t>
      </w:r>
      <w:r w:rsidR="0032664E">
        <w:rPr>
          <w:rFonts w:hint="eastAsia"/>
        </w:rPr>
        <w:t>基本統計量</w:t>
      </w:r>
      <w:r w:rsidR="00FA5512">
        <w:rPr>
          <w:rFonts w:hint="eastAsia"/>
        </w:rPr>
        <w:t>(単位 ％)</w:t>
      </w:r>
    </w:p>
    <w:tbl>
      <w:tblPr>
        <w:tblStyle w:val="a5"/>
        <w:tblW w:w="0" w:type="auto"/>
        <w:jc w:val="center"/>
        <w:tblLook w:val="04A0" w:firstRow="1" w:lastRow="0" w:firstColumn="1" w:lastColumn="0" w:noHBand="0" w:noVBand="1"/>
      </w:tblPr>
      <w:tblGrid>
        <w:gridCol w:w="1110"/>
        <w:gridCol w:w="1110"/>
        <w:gridCol w:w="1110"/>
        <w:gridCol w:w="1110"/>
        <w:gridCol w:w="1111"/>
        <w:gridCol w:w="1111"/>
        <w:gridCol w:w="1080"/>
      </w:tblGrid>
      <w:tr w:rsidR="00766DCE" w14:paraId="5AB63564" w14:textId="77777777" w:rsidTr="004A13DA">
        <w:trPr>
          <w:jc w:val="center"/>
        </w:trPr>
        <w:tc>
          <w:tcPr>
            <w:tcW w:w="1110" w:type="dxa"/>
          </w:tcPr>
          <w:p w14:paraId="490F0F89" w14:textId="77777777" w:rsidR="00766DCE" w:rsidRDefault="00766DCE" w:rsidP="00766DCE">
            <w:pPr>
              <w:jc w:val="center"/>
            </w:pPr>
            <w:r>
              <w:rPr>
                <w:rFonts w:hint="eastAsia"/>
              </w:rPr>
              <w:t>平均</w:t>
            </w:r>
          </w:p>
        </w:tc>
        <w:tc>
          <w:tcPr>
            <w:tcW w:w="1110" w:type="dxa"/>
          </w:tcPr>
          <w:p w14:paraId="61D3C9E4" w14:textId="77777777" w:rsidR="00766DCE" w:rsidRDefault="0032664E" w:rsidP="00766DCE">
            <w:pPr>
              <w:jc w:val="center"/>
            </w:pPr>
            <w:r>
              <w:rPr>
                <w:rFonts w:hint="eastAsia"/>
              </w:rPr>
              <w:t>中央値</w:t>
            </w:r>
          </w:p>
        </w:tc>
        <w:tc>
          <w:tcPr>
            <w:tcW w:w="1110" w:type="dxa"/>
          </w:tcPr>
          <w:p w14:paraId="14F528D7" w14:textId="77777777" w:rsidR="00766DCE" w:rsidRDefault="00766DCE" w:rsidP="00766DCE">
            <w:pPr>
              <w:jc w:val="center"/>
            </w:pPr>
            <w:r>
              <w:rPr>
                <w:rFonts w:hint="eastAsia"/>
              </w:rPr>
              <w:t>標準誤差</w:t>
            </w:r>
          </w:p>
        </w:tc>
        <w:tc>
          <w:tcPr>
            <w:tcW w:w="1110" w:type="dxa"/>
          </w:tcPr>
          <w:p w14:paraId="1C2C80FF" w14:textId="77777777" w:rsidR="00766DCE" w:rsidRDefault="00766DCE" w:rsidP="00766DCE">
            <w:pPr>
              <w:jc w:val="center"/>
            </w:pPr>
            <w:r>
              <w:rPr>
                <w:rFonts w:hint="eastAsia"/>
              </w:rPr>
              <w:t>最大値</w:t>
            </w:r>
          </w:p>
        </w:tc>
        <w:tc>
          <w:tcPr>
            <w:tcW w:w="1111" w:type="dxa"/>
          </w:tcPr>
          <w:p w14:paraId="725D75A6" w14:textId="77777777" w:rsidR="00766DCE" w:rsidRDefault="00766DCE" w:rsidP="00766DCE">
            <w:pPr>
              <w:jc w:val="center"/>
            </w:pPr>
            <w:r>
              <w:rPr>
                <w:rFonts w:hint="eastAsia"/>
              </w:rPr>
              <w:t>最小値</w:t>
            </w:r>
          </w:p>
        </w:tc>
        <w:tc>
          <w:tcPr>
            <w:tcW w:w="1111" w:type="dxa"/>
          </w:tcPr>
          <w:p w14:paraId="0677584B" w14:textId="77777777" w:rsidR="00766DCE" w:rsidRDefault="00766DCE" w:rsidP="00766DCE">
            <w:pPr>
              <w:jc w:val="center"/>
            </w:pPr>
            <w:r>
              <w:rPr>
                <w:rFonts w:hint="eastAsia"/>
              </w:rPr>
              <w:t>歪度</w:t>
            </w:r>
          </w:p>
        </w:tc>
        <w:tc>
          <w:tcPr>
            <w:tcW w:w="1080" w:type="dxa"/>
          </w:tcPr>
          <w:p w14:paraId="2B82F9CF" w14:textId="77777777" w:rsidR="00766DCE" w:rsidRDefault="00766DCE" w:rsidP="00766DCE">
            <w:pPr>
              <w:jc w:val="center"/>
            </w:pPr>
            <w:r>
              <w:rPr>
                <w:rFonts w:hint="eastAsia"/>
              </w:rPr>
              <w:t>尖度</w:t>
            </w:r>
          </w:p>
        </w:tc>
      </w:tr>
      <w:tr w:rsidR="00766DCE" w14:paraId="52ACEB67" w14:textId="77777777" w:rsidTr="004A13DA">
        <w:trPr>
          <w:jc w:val="center"/>
        </w:trPr>
        <w:tc>
          <w:tcPr>
            <w:tcW w:w="1110" w:type="dxa"/>
          </w:tcPr>
          <w:p w14:paraId="1B2B2A34" w14:textId="77777777" w:rsidR="00766DCE" w:rsidRDefault="00766DCE" w:rsidP="00766DCE">
            <w:pPr>
              <w:jc w:val="center"/>
            </w:pPr>
            <w:r>
              <w:rPr>
                <w:rFonts w:hint="eastAsia"/>
              </w:rPr>
              <w:t>0.0016</w:t>
            </w:r>
          </w:p>
        </w:tc>
        <w:tc>
          <w:tcPr>
            <w:tcW w:w="1110" w:type="dxa"/>
          </w:tcPr>
          <w:p w14:paraId="61FEBD71" w14:textId="77777777" w:rsidR="00766DCE" w:rsidRDefault="0032664E" w:rsidP="00766DCE">
            <w:pPr>
              <w:jc w:val="center"/>
            </w:pPr>
            <w:r>
              <w:rPr>
                <w:rFonts w:hint="eastAsia"/>
              </w:rPr>
              <w:t>0.0015</w:t>
            </w:r>
          </w:p>
        </w:tc>
        <w:tc>
          <w:tcPr>
            <w:tcW w:w="1110" w:type="dxa"/>
          </w:tcPr>
          <w:p w14:paraId="04B68CDE" w14:textId="77777777" w:rsidR="00766DCE" w:rsidRDefault="00766DCE" w:rsidP="00766DCE">
            <w:pPr>
              <w:jc w:val="center"/>
            </w:pPr>
            <w:r>
              <w:rPr>
                <w:rFonts w:hint="eastAsia"/>
              </w:rPr>
              <w:t>0.0233</w:t>
            </w:r>
          </w:p>
        </w:tc>
        <w:tc>
          <w:tcPr>
            <w:tcW w:w="1110" w:type="dxa"/>
          </w:tcPr>
          <w:p w14:paraId="6A46DAF1" w14:textId="77777777" w:rsidR="00766DCE" w:rsidRDefault="00766DCE" w:rsidP="00766DCE">
            <w:pPr>
              <w:jc w:val="center"/>
            </w:pPr>
            <w:r>
              <w:rPr>
                <w:rFonts w:hint="eastAsia"/>
              </w:rPr>
              <w:t>0.2498</w:t>
            </w:r>
          </w:p>
        </w:tc>
        <w:tc>
          <w:tcPr>
            <w:tcW w:w="1111" w:type="dxa"/>
          </w:tcPr>
          <w:p w14:paraId="3B4A3587" w14:textId="77777777" w:rsidR="00766DCE" w:rsidRDefault="00766DCE" w:rsidP="00766DCE">
            <w:pPr>
              <w:jc w:val="center"/>
            </w:pPr>
            <w:r>
              <w:rPr>
                <w:rFonts w:hint="eastAsia"/>
              </w:rPr>
              <w:t>-0.3885</w:t>
            </w:r>
          </w:p>
        </w:tc>
        <w:tc>
          <w:tcPr>
            <w:tcW w:w="1111" w:type="dxa"/>
          </w:tcPr>
          <w:p w14:paraId="28F45E0D" w14:textId="77777777" w:rsidR="00766DCE" w:rsidRDefault="00766DCE" w:rsidP="00766DCE">
            <w:pPr>
              <w:jc w:val="center"/>
            </w:pPr>
            <w:r>
              <w:rPr>
                <w:rFonts w:hint="eastAsia"/>
              </w:rPr>
              <w:t>-1.3189</w:t>
            </w:r>
          </w:p>
        </w:tc>
        <w:tc>
          <w:tcPr>
            <w:tcW w:w="1080" w:type="dxa"/>
          </w:tcPr>
          <w:p w14:paraId="41C8E2AD" w14:textId="77777777" w:rsidR="00766DCE" w:rsidRDefault="00766DCE" w:rsidP="00766DCE">
            <w:pPr>
              <w:jc w:val="center"/>
            </w:pPr>
            <w:r>
              <w:rPr>
                <w:rFonts w:hint="eastAsia"/>
              </w:rPr>
              <w:t>43.8004</w:t>
            </w:r>
          </w:p>
        </w:tc>
      </w:tr>
    </w:tbl>
    <w:p w14:paraId="4ECF9F1D" w14:textId="77777777" w:rsidR="00ED5E4B" w:rsidRDefault="00ED5E4B"/>
    <w:p w14:paraId="0E180D6E" w14:textId="77777777" w:rsidR="004D065E" w:rsidRDefault="005C7C42" w:rsidP="004D065E">
      <w:pPr>
        <w:ind w:firstLineChars="100" w:firstLine="210"/>
      </w:pPr>
      <w:r>
        <w:rPr>
          <w:rFonts w:hint="eastAsia"/>
        </w:rPr>
        <w:t>データ</w:t>
      </w:r>
      <w:r w:rsidR="00607FF7">
        <w:rPr>
          <w:rFonts w:hint="eastAsia"/>
        </w:rPr>
        <w:t>の分布や基本統計量を</w:t>
      </w:r>
      <w:r>
        <w:rPr>
          <w:rFonts w:hint="eastAsia"/>
        </w:rPr>
        <w:t>見ると</w:t>
      </w:r>
      <w:r w:rsidR="00607FF7">
        <w:rPr>
          <w:rFonts w:hint="eastAsia"/>
        </w:rPr>
        <w:t>、上場企業における</w:t>
      </w:r>
      <w:r>
        <w:rPr>
          <w:rFonts w:hint="eastAsia"/>
        </w:rPr>
        <w:t>楽観性指数</w:t>
      </w:r>
      <w:r w:rsidR="00607FF7">
        <w:rPr>
          <w:rFonts w:hint="eastAsia"/>
        </w:rPr>
        <w:t>の平均値と中央値はほぼ</w:t>
      </w:r>
      <w:r>
        <w:rPr>
          <w:rFonts w:hint="eastAsia"/>
        </w:rPr>
        <w:t>0</w:t>
      </w:r>
      <w:r w:rsidR="00607FF7">
        <w:rPr>
          <w:rFonts w:hint="eastAsia"/>
        </w:rPr>
        <w:t>であり、また多くのデータも0</w:t>
      </w:r>
      <w:r>
        <w:rPr>
          <w:rFonts w:hint="eastAsia"/>
        </w:rPr>
        <w:t>近辺に多く分布して</w:t>
      </w:r>
      <w:r w:rsidR="00607FF7">
        <w:rPr>
          <w:rFonts w:hint="eastAsia"/>
        </w:rPr>
        <w:t>いることから</w:t>
      </w:r>
      <w:r>
        <w:rPr>
          <w:rFonts w:hint="eastAsia"/>
        </w:rPr>
        <w:t>、ほとんどの企業が</w:t>
      </w:r>
      <w:r w:rsidR="00607FF7">
        <w:rPr>
          <w:rFonts w:hint="eastAsia"/>
        </w:rPr>
        <w:t>決算短信では妥当な利益予測を公開していることが分かる。スクリーニングの基準について、企業も将来の経常利益について完璧な予測をすることは不可能であることためある程度の誤差があることを考慮し、</w:t>
      </w:r>
      <w:r w:rsidR="004D065E">
        <w:rPr>
          <w:rFonts w:hint="eastAsia"/>
        </w:rPr>
        <w:t>本レポートでは経常利益について8％以上の過剰な予測を行った企業を分析の対象にすることにする。これは楽観性指数における上位25％の企業が相当していた。</w:t>
      </w:r>
    </w:p>
    <w:p w14:paraId="4BC7EC08" w14:textId="77777777" w:rsidR="005C7C42" w:rsidRPr="004D065E" w:rsidRDefault="005C7C42" w:rsidP="004D065E">
      <w:pPr>
        <w:ind w:firstLineChars="100" w:firstLine="210"/>
      </w:pPr>
    </w:p>
    <w:p w14:paraId="4FB6DC27" w14:textId="77777777" w:rsidR="00766DCE" w:rsidRPr="004D065E" w:rsidRDefault="004D065E" w:rsidP="004D065E">
      <w:pPr>
        <w:ind w:firstLineChars="100" w:firstLine="210"/>
      </w:pPr>
      <w:r>
        <w:rPr>
          <w:rFonts w:hint="eastAsia"/>
        </w:rPr>
        <w:t>最後に3つ目のスクリーニング基準について述べる。</w:t>
      </w:r>
      <w:r w:rsidRPr="005C7C42">
        <w:t>寧</w:t>
      </w:r>
      <w:r>
        <w:rPr>
          <w:rFonts w:hint="eastAsia"/>
        </w:rPr>
        <w:t>(2022)は自信過剰な経営者は、投資機会を確保するため配当を抑制する傾向があることを明らかにした。よって本レポートでは企業の配当性向にも注目し、それに基づいて更なるスクリーニングを行う。配当性向とは税引き後の純利益のうち何パーセントを配当金として株主に還元しているかを示す指標である。図3と表3は上場企業の配当性向に関するヒストグラムと基本統計量である。ただし図3についてグラフの見やすさという観点から配当性向が300％以下のもののみを図示している。</w:t>
      </w:r>
    </w:p>
    <w:p w14:paraId="35289790" w14:textId="77777777" w:rsidR="00766DCE" w:rsidRDefault="00766DCE" w:rsidP="00766DCE">
      <w:pPr>
        <w:jc w:val="center"/>
      </w:pPr>
    </w:p>
    <w:p w14:paraId="714B4F85" w14:textId="77777777" w:rsidR="00766DCE" w:rsidRDefault="00FA5512" w:rsidP="00FA5512">
      <w:pPr>
        <w:jc w:val="center"/>
      </w:pPr>
      <w:r>
        <w:rPr>
          <w:rFonts w:hint="eastAsia"/>
          <w:noProof/>
        </w:rPr>
        <w:drawing>
          <wp:inline distT="0" distB="0" distL="0" distR="0" wp14:anchorId="6898FAF1" wp14:editId="4FDFF0BA">
            <wp:extent cx="3857625" cy="2751116"/>
            <wp:effectExtent l="0" t="0" r="0" b="0"/>
            <wp:docPr id="1972912979"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12979" name="図 1972912979"/>
                    <pic:cNvPicPr/>
                  </pic:nvPicPr>
                  <pic:blipFill>
                    <a:blip r:embed="rId10">
                      <a:extLst>
                        <a:ext uri="{28A0092B-C50C-407E-A947-70E740481C1C}">
                          <a14:useLocalDpi xmlns:a14="http://schemas.microsoft.com/office/drawing/2010/main" val="0"/>
                        </a:ext>
                      </a:extLst>
                    </a:blip>
                    <a:stretch>
                      <a:fillRect/>
                    </a:stretch>
                  </pic:blipFill>
                  <pic:spPr>
                    <a:xfrm>
                      <a:off x="0" y="0"/>
                      <a:ext cx="3866757" cy="2757629"/>
                    </a:xfrm>
                    <a:prstGeom prst="rect">
                      <a:avLst/>
                    </a:prstGeom>
                  </pic:spPr>
                </pic:pic>
              </a:graphicData>
            </a:graphic>
          </wp:inline>
        </w:drawing>
      </w:r>
    </w:p>
    <w:p w14:paraId="713683D8" w14:textId="77777777" w:rsidR="00FA5512" w:rsidRPr="00D164BC" w:rsidRDefault="00FA5512" w:rsidP="00FA5512">
      <w:pPr>
        <w:ind w:firstLineChars="100" w:firstLine="210"/>
        <w:jc w:val="center"/>
      </w:pPr>
      <w:r>
        <w:rPr>
          <w:rFonts w:hint="eastAsia"/>
        </w:rPr>
        <w:t>図3上場企業の配当性向に関するヒストグラム(単位 ％)</w:t>
      </w:r>
    </w:p>
    <w:p w14:paraId="536CF046" w14:textId="77777777" w:rsidR="005A34DF" w:rsidRDefault="004D065E" w:rsidP="004D065E">
      <w:pPr>
        <w:jc w:val="center"/>
      </w:pPr>
      <w:r>
        <w:rPr>
          <w:rFonts w:hint="eastAsia"/>
        </w:rPr>
        <w:t>(</w:t>
      </w:r>
      <w:r w:rsidRPr="00143842">
        <w:t xml:space="preserve">企業情報データベース </w:t>
      </w:r>
      <w:proofErr w:type="spellStart"/>
      <w:r w:rsidRPr="00143842">
        <w:t>eol</w:t>
      </w:r>
      <w:proofErr w:type="spellEnd"/>
      <w:r>
        <w:rPr>
          <w:rFonts w:hint="eastAsia"/>
        </w:rPr>
        <w:t xml:space="preserve"> 「実績ー配当性向[％]」より筆者作成)</w:t>
      </w:r>
    </w:p>
    <w:p w14:paraId="154AA28C" w14:textId="77777777" w:rsidR="004D065E" w:rsidRPr="004D065E" w:rsidRDefault="004D065E" w:rsidP="004D065E">
      <w:pPr>
        <w:jc w:val="center"/>
      </w:pPr>
    </w:p>
    <w:p w14:paraId="6B4A84A9" w14:textId="77777777" w:rsidR="00766DCE" w:rsidRDefault="00FA5512" w:rsidP="00FA5512">
      <w:pPr>
        <w:jc w:val="center"/>
      </w:pPr>
      <w:r>
        <w:rPr>
          <w:rFonts w:hint="eastAsia"/>
        </w:rPr>
        <w:lastRenderedPageBreak/>
        <w:t>表3上場企業の配当性向に関する</w:t>
      </w:r>
      <w:r w:rsidR="0032664E">
        <w:rPr>
          <w:rFonts w:hint="eastAsia"/>
        </w:rPr>
        <w:t>基本統計量</w:t>
      </w:r>
      <w:r>
        <w:rPr>
          <w:rFonts w:hint="eastAsia"/>
        </w:rPr>
        <w:t>(単位 ％)</w:t>
      </w:r>
    </w:p>
    <w:tbl>
      <w:tblPr>
        <w:tblStyle w:val="a5"/>
        <w:tblW w:w="0" w:type="auto"/>
        <w:jc w:val="center"/>
        <w:tblLook w:val="04A0" w:firstRow="1" w:lastRow="0" w:firstColumn="1" w:lastColumn="0" w:noHBand="0" w:noVBand="1"/>
      </w:tblPr>
      <w:tblGrid>
        <w:gridCol w:w="1110"/>
        <w:gridCol w:w="1110"/>
        <w:gridCol w:w="1110"/>
        <w:gridCol w:w="1110"/>
        <w:gridCol w:w="1111"/>
        <w:gridCol w:w="1111"/>
        <w:gridCol w:w="1080"/>
      </w:tblGrid>
      <w:tr w:rsidR="00766DCE" w14:paraId="6F7226C5" w14:textId="77777777" w:rsidTr="002F5E01">
        <w:trPr>
          <w:jc w:val="center"/>
        </w:trPr>
        <w:tc>
          <w:tcPr>
            <w:tcW w:w="1110" w:type="dxa"/>
          </w:tcPr>
          <w:p w14:paraId="24D04341" w14:textId="77777777" w:rsidR="00766DCE" w:rsidRDefault="00766DCE" w:rsidP="00766DCE">
            <w:pPr>
              <w:jc w:val="center"/>
            </w:pPr>
            <w:r>
              <w:rPr>
                <w:rFonts w:hint="eastAsia"/>
              </w:rPr>
              <w:t>平均</w:t>
            </w:r>
          </w:p>
        </w:tc>
        <w:tc>
          <w:tcPr>
            <w:tcW w:w="1110" w:type="dxa"/>
          </w:tcPr>
          <w:p w14:paraId="64B0D1D4" w14:textId="77777777" w:rsidR="00766DCE" w:rsidRDefault="00766DCE" w:rsidP="00766DCE">
            <w:pPr>
              <w:jc w:val="center"/>
            </w:pPr>
            <w:r>
              <w:rPr>
                <w:rFonts w:hint="eastAsia"/>
              </w:rPr>
              <w:t>中央値</w:t>
            </w:r>
          </w:p>
        </w:tc>
        <w:tc>
          <w:tcPr>
            <w:tcW w:w="1110" w:type="dxa"/>
          </w:tcPr>
          <w:p w14:paraId="6E6E9B36" w14:textId="77777777" w:rsidR="00766DCE" w:rsidRDefault="00766DCE" w:rsidP="00766DCE">
            <w:pPr>
              <w:jc w:val="center"/>
            </w:pPr>
            <w:r>
              <w:rPr>
                <w:rFonts w:hint="eastAsia"/>
              </w:rPr>
              <w:t>標準誤差</w:t>
            </w:r>
          </w:p>
        </w:tc>
        <w:tc>
          <w:tcPr>
            <w:tcW w:w="1110" w:type="dxa"/>
          </w:tcPr>
          <w:p w14:paraId="244567B8" w14:textId="77777777" w:rsidR="00766DCE" w:rsidRDefault="00766DCE" w:rsidP="00766DCE">
            <w:pPr>
              <w:jc w:val="center"/>
            </w:pPr>
            <w:r>
              <w:rPr>
                <w:rFonts w:hint="eastAsia"/>
              </w:rPr>
              <w:t>最大値</w:t>
            </w:r>
          </w:p>
        </w:tc>
        <w:tc>
          <w:tcPr>
            <w:tcW w:w="1111" w:type="dxa"/>
          </w:tcPr>
          <w:p w14:paraId="15A8D67D" w14:textId="77777777" w:rsidR="00766DCE" w:rsidRDefault="00766DCE" w:rsidP="00766DCE">
            <w:pPr>
              <w:jc w:val="center"/>
            </w:pPr>
            <w:r>
              <w:rPr>
                <w:rFonts w:hint="eastAsia"/>
              </w:rPr>
              <w:t>最小値</w:t>
            </w:r>
          </w:p>
        </w:tc>
        <w:tc>
          <w:tcPr>
            <w:tcW w:w="1111" w:type="dxa"/>
          </w:tcPr>
          <w:p w14:paraId="09392852" w14:textId="77777777" w:rsidR="00766DCE" w:rsidRDefault="00766DCE" w:rsidP="00766DCE">
            <w:pPr>
              <w:jc w:val="center"/>
            </w:pPr>
            <w:r>
              <w:rPr>
                <w:rFonts w:hint="eastAsia"/>
              </w:rPr>
              <w:t>歪度</w:t>
            </w:r>
          </w:p>
        </w:tc>
        <w:tc>
          <w:tcPr>
            <w:tcW w:w="1080" w:type="dxa"/>
          </w:tcPr>
          <w:p w14:paraId="70CC7A06" w14:textId="77777777" w:rsidR="00766DCE" w:rsidRDefault="00766DCE" w:rsidP="00766DCE">
            <w:pPr>
              <w:jc w:val="center"/>
            </w:pPr>
            <w:r>
              <w:rPr>
                <w:rFonts w:hint="eastAsia"/>
              </w:rPr>
              <w:t>尖度</w:t>
            </w:r>
          </w:p>
        </w:tc>
      </w:tr>
      <w:tr w:rsidR="00766DCE" w14:paraId="7A52B7B8" w14:textId="77777777" w:rsidTr="002F5E01">
        <w:trPr>
          <w:jc w:val="center"/>
        </w:trPr>
        <w:tc>
          <w:tcPr>
            <w:tcW w:w="1110" w:type="dxa"/>
          </w:tcPr>
          <w:p w14:paraId="094657AB" w14:textId="77777777" w:rsidR="00766DCE" w:rsidRDefault="00766DCE" w:rsidP="00766DCE">
            <w:pPr>
              <w:jc w:val="center"/>
            </w:pPr>
            <w:r>
              <w:rPr>
                <w:rFonts w:hint="eastAsia"/>
              </w:rPr>
              <w:t>47.3399</w:t>
            </w:r>
          </w:p>
        </w:tc>
        <w:tc>
          <w:tcPr>
            <w:tcW w:w="1110" w:type="dxa"/>
          </w:tcPr>
          <w:p w14:paraId="6A9DF796" w14:textId="77777777" w:rsidR="00766DCE" w:rsidRDefault="00766DCE" w:rsidP="00766DCE">
            <w:pPr>
              <w:jc w:val="center"/>
            </w:pPr>
            <w:r>
              <w:rPr>
                <w:rFonts w:hint="eastAsia"/>
              </w:rPr>
              <w:t>31.7</w:t>
            </w:r>
          </w:p>
        </w:tc>
        <w:tc>
          <w:tcPr>
            <w:tcW w:w="1110" w:type="dxa"/>
          </w:tcPr>
          <w:p w14:paraId="493025BC" w14:textId="77777777" w:rsidR="00766DCE" w:rsidRDefault="00766DCE" w:rsidP="00766DCE">
            <w:pPr>
              <w:jc w:val="center"/>
            </w:pPr>
            <w:r>
              <w:rPr>
                <w:rFonts w:hint="eastAsia"/>
              </w:rPr>
              <w:t>232.4033</w:t>
            </w:r>
          </w:p>
        </w:tc>
        <w:tc>
          <w:tcPr>
            <w:tcW w:w="1110" w:type="dxa"/>
          </w:tcPr>
          <w:p w14:paraId="57247AE2" w14:textId="77777777" w:rsidR="00766DCE" w:rsidRDefault="00766DCE" w:rsidP="00766DCE">
            <w:pPr>
              <w:jc w:val="center"/>
            </w:pPr>
            <w:r>
              <w:rPr>
                <w:rFonts w:hint="eastAsia"/>
              </w:rPr>
              <w:t>11774.8</w:t>
            </w:r>
          </w:p>
        </w:tc>
        <w:tc>
          <w:tcPr>
            <w:tcW w:w="1111" w:type="dxa"/>
          </w:tcPr>
          <w:p w14:paraId="2D8B04EC" w14:textId="77777777" w:rsidR="00766DCE" w:rsidRDefault="00766DCE" w:rsidP="00766DCE">
            <w:pPr>
              <w:jc w:val="center"/>
            </w:pPr>
            <w:r>
              <w:rPr>
                <w:rFonts w:hint="eastAsia"/>
              </w:rPr>
              <w:t>1.7</w:t>
            </w:r>
          </w:p>
        </w:tc>
        <w:tc>
          <w:tcPr>
            <w:tcW w:w="1111" w:type="dxa"/>
          </w:tcPr>
          <w:p w14:paraId="49489CE3" w14:textId="77777777" w:rsidR="00766DCE" w:rsidRDefault="00766DCE" w:rsidP="00766DCE">
            <w:pPr>
              <w:jc w:val="center"/>
            </w:pPr>
            <w:r>
              <w:rPr>
                <w:rFonts w:hint="eastAsia"/>
              </w:rPr>
              <w:t>45.8108</w:t>
            </w:r>
          </w:p>
        </w:tc>
        <w:tc>
          <w:tcPr>
            <w:tcW w:w="1080" w:type="dxa"/>
          </w:tcPr>
          <w:p w14:paraId="01B7916D" w14:textId="77777777" w:rsidR="00766DCE" w:rsidRDefault="00766DCE" w:rsidP="00766DCE">
            <w:pPr>
              <w:jc w:val="center"/>
            </w:pPr>
            <w:r>
              <w:rPr>
                <w:rFonts w:hint="eastAsia"/>
              </w:rPr>
              <w:t>2288.887</w:t>
            </w:r>
          </w:p>
        </w:tc>
      </w:tr>
    </w:tbl>
    <w:p w14:paraId="525F05BB" w14:textId="77777777" w:rsidR="00A805A1" w:rsidRDefault="00A805A1"/>
    <w:p w14:paraId="226BB977" w14:textId="77777777" w:rsidR="00B63942" w:rsidRDefault="002A0E8E" w:rsidP="00B63942">
      <w:r>
        <w:rPr>
          <w:rFonts w:hint="eastAsia"/>
        </w:rPr>
        <w:t xml:space="preserve">　</w:t>
      </w:r>
      <w:r w:rsidR="00B63942">
        <w:rPr>
          <w:rFonts w:hint="eastAsia"/>
        </w:rPr>
        <w:t>配当性向におけるスクリーニングとして、配当性向がその平均値より小さい値であることを条件とし、配当性向の大きさに関して下位60％の企業を選出した。</w:t>
      </w:r>
    </w:p>
    <w:p w14:paraId="19B6DE9A" w14:textId="77777777" w:rsidR="00B63942" w:rsidRDefault="00B63942" w:rsidP="00B63942">
      <w:pPr>
        <w:ind w:firstLineChars="100" w:firstLine="210"/>
      </w:pPr>
      <w:r>
        <w:rPr>
          <w:rFonts w:hint="eastAsia"/>
        </w:rPr>
        <w:t>以上3つの会計基準に基づき、3つの指標すべてにおいて設定した一定の基準を満たす企業を選出した。</w:t>
      </w:r>
    </w:p>
    <w:p w14:paraId="178681A8" w14:textId="77777777" w:rsidR="00B63942" w:rsidRDefault="00B63942" w:rsidP="00B63942">
      <w:pPr>
        <w:ind w:firstLineChars="100" w:firstLine="210"/>
      </w:pPr>
      <w:r>
        <w:rPr>
          <w:rFonts w:hint="eastAsia"/>
        </w:rPr>
        <w:t>上記の手順を踏まえスクリーニングを行ったところ、合計98社選出された。その後、2020年1月から2024年4月末までの株価データが不足なく存在する企業のみでポートフォリオを作成した。株価データはYahoo!ファイナンス</w:t>
      </w:r>
      <w:r>
        <w:rPr>
          <w:rStyle w:val="a8"/>
        </w:rPr>
        <w:footnoteReference w:id="2"/>
      </w:r>
      <w:r>
        <w:rPr>
          <w:rFonts w:hint="eastAsia"/>
        </w:rPr>
        <w:t>より取得した。最終的には78社の企業の株式データを用いてポートフォリオを作成した。ポートフォリオ内の業界ごとの分布は図4のようになった。やや偏りがみられるが企業数が一定以上あり、単一の業界に偏っているわけではないことから、十分に個別リスクや業界リスクは軽減されていると考え分析を進めていく。</w:t>
      </w:r>
    </w:p>
    <w:p w14:paraId="1E28B6FE" w14:textId="77777777" w:rsidR="000C0DAE" w:rsidRDefault="000C0DAE" w:rsidP="00B63942">
      <w:r>
        <w:rPr>
          <w:rFonts w:hint="eastAsia"/>
          <w:noProof/>
        </w:rPr>
        <w:drawing>
          <wp:inline distT="0" distB="0" distL="0" distR="0" wp14:anchorId="3241351C" wp14:editId="0A9F4303">
            <wp:extent cx="4848902" cy="3458058"/>
            <wp:effectExtent l="0" t="0" r="8890" b="9525"/>
            <wp:docPr id="1831969052"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69052" name="図 1831969052"/>
                    <pic:cNvPicPr/>
                  </pic:nvPicPr>
                  <pic:blipFill>
                    <a:blip r:embed="rId11">
                      <a:extLst>
                        <a:ext uri="{28A0092B-C50C-407E-A947-70E740481C1C}">
                          <a14:useLocalDpi xmlns:a14="http://schemas.microsoft.com/office/drawing/2010/main" val="0"/>
                        </a:ext>
                      </a:extLst>
                    </a:blip>
                    <a:stretch>
                      <a:fillRect/>
                    </a:stretch>
                  </pic:blipFill>
                  <pic:spPr>
                    <a:xfrm>
                      <a:off x="0" y="0"/>
                      <a:ext cx="4848902" cy="3458058"/>
                    </a:xfrm>
                    <a:prstGeom prst="rect">
                      <a:avLst/>
                    </a:prstGeom>
                  </pic:spPr>
                </pic:pic>
              </a:graphicData>
            </a:graphic>
          </wp:inline>
        </w:drawing>
      </w:r>
    </w:p>
    <w:p w14:paraId="1B00E127" w14:textId="77777777" w:rsidR="000C0DAE" w:rsidRDefault="00FA5512" w:rsidP="00FA5512">
      <w:pPr>
        <w:jc w:val="center"/>
      </w:pPr>
      <w:r>
        <w:rPr>
          <w:rFonts w:hint="eastAsia"/>
        </w:rPr>
        <w:t>図4　ポートフォリオに組み入れられた企業の業種に関するヒストグラム</w:t>
      </w:r>
    </w:p>
    <w:p w14:paraId="0BCA5576" w14:textId="77777777" w:rsidR="0002596F" w:rsidRDefault="0002596F"/>
    <w:p w14:paraId="6C3D3D7F" w14:textId="77777777" w:rsidR="003F3545" w:rsidRPr="003F3545" w:rsidRDefault="003F3545"/>
    <w:p w14:paraId="046D22BB" w14:textId="77777777" w:rsidR="008D1656" w:rsidRDefault="008D1656">
      <w:r>
        <w:rPr>
          <w:rFonts w:hint="eastAsia"/>
        </w:rPr>
        <w:lastRenderedPageBreak/>
        <w:t>2.2最適ポートフォリオ</w:t>
      </w:r>
    </w:p>
    <w:p w14:paraId="69DA217E" w14:textId="77777777" w:rsidR="00366B6F" w:rsidRDefault="008D1656" w:rsidP="00366B6F">
      <w:pPr>
        <w:ind w:firstLineChars="100" w:firstLine="210"/>
      </w:pPr>
      <w:r>
        <w:rPr>
          <w:rFonts w:hint="eastAsia"/>
        </w:rPr>
        <w:t xml:space="preserve">　上記のスクリーニングより選出した</w:t>
      </w:r>
      <w:r w:rsidR="00966DEB">
        <w:rPr>
          <w:rFonts w:hint="eastAsia"/>
        </w:rPr>
        <w:t>78</w:t>
      </w:r>
      <w:r>
        <w:rPr>
          <w:rFonts w:hint="eastAsia"/>
        </w:rPr>
        <w:t>社からポートフォリオを構成する。最適な投資比率を決定するために過去の各企業の株価の日次終値データを用いて期待リターンと期待リスクを算出しそれをもとに効率的フロンティアを導出した。</w:t>
      </w:r>
      <w:r w:rsidR="00A0373A">
        <w:rPr>
          <w:rFonts w:hint="eastAsia"/>
        </w:rPr>
        <w:t>期待リターンと期待リスクの算出は次の式のとおりである。</w:t>
      </w:r>
      <w:r w:rsidR="00366B6F">
        <w:rPr>
          <w:rFonts w:hint="eastAsia"/>
        </w:rPr>
        <w:t>2.1節でも述べたが分析対象期間は2020年1月から2024年4月までの4年間余りである。</w:t>
      </w:r>
    </w:p>
    <w:p w14:paraId="7043DC80" w14:textId="77777777" w:rsidR="00A0373A" w:rsidRPr="00366B6F" w:rsidRDefault="00A0373A"/>
    <w:p w14:paraId="766F12C2" w14:textId="77777777" w:rsidR="00A0373A" w:rsidRDefault="00A0373A"/>
    <w:p w14:paraId="1E2F8AD9" w14:textId="77777777" w:rsidR="00A0373A" w:rsidRDefault="00A0373A">
      <m:oMathPara>
        <m:oMath>
          <m:r>
            <w:rPr>
              <w:rFonts w:ascii="Cambria Math" w:hAnsi="Cambria Math" w:hint="eastAsia"/>
            </w:rPr>
            <m:t>企業</m:t>
          </m:r>
          <m:r>
            <w:rPr>
              <w:rFonts w:ascii="Cambria Math" w:hAnsi="Cambria Math"/>
            </w:rPr>
            <m:t>i</m:t>
          </m:r>
          <m:r>
            <w:rPr>
              <w:rFonts w:ascii="Cambria Math" w:hAnsi="Cambria Math" w:hint="eastAsia"/>
            </w:rPr>
            <m:t>の年率リターン</m:t>
          </m:r>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0</m:t>
              </m:r>
            </m:sub>
            <m:sup>
              <m:r>
                <w:rPr>
                  <w:rFonts w:ascii="Cambria Math" w:hAnsi="Cambria Math"/>
                </w:rPr>
                <m:t>T-1</m:t>
              </m:r>
            </m:sup>
            <m:e>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m:t>
                      </m:r>
                    </m:sub>
                  </m:sSub>
                </m:num>
                <m:den>
                  <m:sSub>
                    <m:sSubPr>
                      <m:ctrlPr>
                        <w:rPr>
                          <w:rFonts w:ascii="Cambria Math" w:hAnsi="Cambria Math"/>
                          <w:i/>
                        </w:rPr>
                      </m:ctrlPr>
                    </m:sSubPr>
                    <m:e>
                      <m:r>
                        <w:rPr>
                          <w:rFonts w:ascii="Cambria Math" w:hAnsi="Cambria Math"/>
                        </w:rPr>
                        <m:t>P</m:t>
                      </m:r>
                    </m:e>
                    <m:sub>
                      <m:r>
                        <w:rPr>
                          <w:rFonts w:ascii="Cambria Math" w:hAnsi="Cambria Math"/>
                        </w:rPr>
                        <m:t>i,t</m:t>
                      </m:r>
                    </m:sub>
                  </m:sSub>
                </m:den>
              </m:f>
              <m:r>
                <w:rPr>
                  <w:rFonts w:ascii="Cambria Math" w:hAnsi="Cambria Math" w:hint="eastAsia"/>
                </w:rPr>
                <m:t>×</m:t>
              </m:r>
              <m:r>
                <w:rPr>
                  <w:rFonts w:ascii="Cambria Math" w:hAnsi="Cambria Math"/>
                </w:rPr>
                <m:t>250</m:t>
              </m:r>
            </m:e>
          </m:nary>
        </m:oMath>
      </m:oMathPara>
    </w:p>
    <w:p w14:paraId="20EE6FBD" w14:textId="77777777" w:rsidR="004B149A" w:rsidRDefault="004B149A" w:rsidP="004B149A">
      <m:oMathPara>
        <m:oMath>
          <m:r>
            <w:rPr>
              <w:rFonts w:ascii="Cambria Math" w:hAnsi="Cambria Math" w:hint="eastAsia"/>
            </w:rPr>
            <m:t>企業</m:t>
          </m:r>
          <m:r>
            <w:rPr>
              <w:rFonts w:ascii="Cambria Math" w:hAnsi="Cambria Math"/>
            </w:rPr>
            <m:t>i</m:t>
          </m:r>
          <m:r>
            <w:rPr>
              <w:rFonts w:ascii="Cambria Math" w:hAnsi="Cambria Math" w:hint="eastAsia"/>
            </w:rPr>
            <m:t>のリスク</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0</m:t>
                  </m:r>
                </m:sub>
                <m:sup>
                  <m:r>
                    <w:rPr>
                      <w:rFonts w:ascii="Cambria Math" w:hAnsi="Cambria Math"/>
                    </w:rPr>
                    <m:t>T-1</m:t>
                  </m:r>
                </m:sup>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m:t>
                              </m:r>
                            </m:sub>
                          </m:sSub>
                        </m:num>
                        <m:den>
                          <m:sSub>
                            <m:sSubPr>
                              <m:ctrlPr>
                                <w:rPr>
                                  <w:rFonts w:ascii="Cambria Math" w:hAnsi="Cambria Math"/>
                                  <w:i/>
                                </w:rPr>
                              </m:ctrlPr>
                            </m:sSubPr>
                            <m:e>
                              <m:r>
                                <w:rPr>
                                  <w:rFonts w:ascii="Cambria Math" w:hAnsi="Cambria Math"/>
                                </w:rPr>
                                <m:t>P</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0</m:t>
                          </m:r>
                        </m:sub>
                        <m:sup>
                          <m:r>
                            <w:rPr>
                              <w:rFonts w:ascii="Cambria Math" w:hAnsi="Cambria Math"/>
                            </w:rPr>
                            <m:t>T-1</m:t>
                          </m:r>
                        </m:sup>
                        <m:e>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m:t>
                                  </m:r>
                                </m:sub>
                              </m:sSub>
                            </m:num>
                            <m:den>
                              <m:sSub>
                                <m:sSubPr>
                                  <m:ctrlPr>
                                    <w:rPr>
                                      <w:rFonts w:ascii="Cambria Math" w:hAnsi="Cambria Math"/>
                                      <w:i/>
                                    </w:rPr>
                                  </m:ctrlPr>
                                </m:sSubPr>
                                <m:e>
                                  <m:r>
                                    <w:rPr>
                                      <w:rFonts w:ascii="Cambria Math" w:hAnsi="Cambria Math"/>
                                    </w:rPr>
                                    <m:t>P</m:t>
                                  </m:r>
                                </m:e>
                                <m:sub>
                                  <m:r>
                                    <w:rPr>
                                      <w:rFonts w:ascii="Cambria Math" w:hAnsi="Cambria Math"/>
                                    </w:rPr>
                                    <m:t>i,t</m:t>
                                  </m:r>
                                </m:sub>
                              </m:sSub>
                            </m:den>
                          </m:f>
                        </m:e>
                      </m:nary>
                    </m:e>
                  </m:d>
                  <m:r>
                    <w:rPr>
                      <w:rFonts w:ascii="Cambria Math" w:hAnsi="Cambria Math" w:hint="eastAsia"/>
                    </w:rPr>
                    <m:t>²×</m:t>
                  </m:r>
                  <m:r>
                    <w:rPr>
                      <w:rFonts w:ascii="Cambria Math" w:hAnsi="Cambria Math"/>
                    </w:rPr>
                    <m:t>250</m:t>
                  </m:r>
                </m:e>
              </m:nary>
            </m:e>
          </m:rad>
        </m:oMath>
      </m:oMathPara>
    </w:p>
    <w:p w14:paraId="76417562" w14:textId="77777777" w:rsidR="00A0373A" w:rsidRPr="004B149A" w:rsidRDefault="004B149A">
      <m:oMathPara>
        <m:oMath>
          <m:r>
            <w:rPr>
              <w:rFonts w:ascii="Cambria Math" w:hAnsi="Cambria Math" w:hint="eastAsia"/>
            </w:rPr>
            <m:t>ポートフォリオの年率リターン</m:t>
          </m:r>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84114A1" w14:textId="77777777" w:rsidR="004B149A" w:rsidRDefault="004B149A">
      <m:oMathPara>
        <m:oMath>
          <m:r>
            <w:rPr>
              <w:rFonts w:ascii="Cambria Math" w:hAnsi="Cambria Math" w:hint="eastAsia"/>
            </w:rPr>
            <m:t>ポートフォリオのリスク</m:t>
          </m:r>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ij</m:t>
                          </m:r>
                        </m:sub>
                      </m:sSub>
                    </m:e>
                  </m:nary>
                </m:e>
              </m:nary>
            </m:e>
          </m:rad>
        </m:oMath>
      </m:oMathPara>
    </w:p>
    <w:p w14:paraId="03C15137" w14:textId="77777777" w:rsidR="00A0373A" w:rsidRDefault="00A0373A"/>
    <w:p w14:paraId="2A554D99" w14:textId="77777777" w:rsidR="00B63942" w:rsidRDefault="00B63942" w:rsidP="00B63942">
      <w:r>
        <w:rPr>
          <w:rFonts w:hint="eastAsia"/>
        </w:rPr>
        <w:t xml:space="preserve">　図5のように無リスク資産を0とした時のシャープレシオが最大になる配分を求めた。ただし条件としてポートフォリオにすべての銘柄が組み込まれるように、各銘柄の投資比率の下限を0.1%に設定した。</w:t>
      </w:r>
    </w:p>
    <w:p w14:paraId="258EBD47" w14:textId="77777777" w:rsidR="008D1656" w:rsidRPr="00B63942" w:rsidRDefault="008D1656"/>
    <w:p w14:paraId="70000656" w14:textId="77777777" w:rsidR="008D1656" w:rsidRDefault="001F5C96" w:rsidP="00FA5512">
      <w:pPr>
        <w:jc w:val="center"/>
      </w:pPr>
      <w:r>
        <w:rPr>
          <w:noProof/>
        </w:rPr>
        <w:drawing>
          <wp:inline distT="0" distB="0" distL="0" distR="0" wp14:anchorId="2BCEC502" wp14:editId="3668A210">
            <wp:extent cx="4278702" cy="2674189"/>
            <wp:effectExtent l="0" t="0" r="0" b="0"/>
            <wp:docPr id="178729677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96777" name="図 1787296777"/>
                    <pic:cNvPicPr/>
                  </pic:nvPicPr>
                  <pic:blipFill>
                    <a:blip r:embed="rId12">
                      <a:extLst>
                        <a:ext uri="{28A0092B-C50C-407E-A947-70E740481C1C}">
                          <a14:useLocalDpi xmlns:a14="http://schemas.microsoft.com/office/drawing/2010/main" val="0"/>
                        </a:ext>
                      </a:extLst>
                    </a:blip>
                    <a:stretch>
                      <a:fillRect/>
                    </a:stretch>
                  </pic:blipFill>
                  <pic:spPr>
                    <a:xfrm>
                      <a:off x="0" y="0"/>
                      <a:ext cx="4293908" cy="2683693"/>
                    </a:xfrm>
                    <a:prstGeom prst="rect">
                      <a:avLst/>
                    </a:prstGeom>
                  </pic:spPr>
                </pic:pic>
              </a:graphicData>
            </a:graphic>
          </wp:inline>
        </w:drawing>
      </w:r>
    </w:p>
    <w:p w14:paraId="4BFFFE43" w14:textId="77777777" w:rsidR="00366B6F" w:rsidRDefault="0002596F" w:rsidP="00366B6F">
      <w:pPr>
        <w:jc w:val="center"/>
      </w:pPr>
      <w:r>
        <w:rPr>
          <w:rFonts w:hint="eastAsia"/>
        </w:rPr>
        <w:t>図5 効率的フロンティアと資本市場線</w:t>
      </w:r>
    </w:p>
    <w:p w14:paraId="36CA3545" w14:textId="77777777" w:rsidR="00FA5512" w:rsidRDefault="00366B6F" w:rsidP="00366B6F">
      <w:pPr>
        <w:widowControl/>
        <w:jc w:val="left"/>
      </w:pPr>
      <w:r>
        <w:br w:type="page"/>
      </w:r>
      <w:r w:rsidR="00FA5512">
        <w:rPr>
          <w:rFonts w:hint="eastAsia"/>
        </w:rPr>
        <w:lastRenderedPageBreak/>
        <w:t>2.3 ポートフォリオのリターン分析</w:t>
      </w:r>
    </w:p>
    <w:p w14:paraId="066A653F" w14:textId="77777777" w:rsidR="008D1656" w:rsidRDefault="00FA5512" w:rsidP="00FA5512">
      <w:pPr>
        <w:ind w:firstLineChars="100" w:firstLine="210"/>
      </w:pPr>
      <w:r>
        <w:rPr>
          <w:rFonts w:hint="eastAsia"/>
        </w:rPr>
        <w:t>上記の手順に基づき</w:t>
      </w:r>
      <w:r w:rsidR="001F5C96">
        <w:rPr>
          <w:rFonts w:hint="eastAsia"/>
        </w:rPr>
        <w:t>構成された</w:t>
      </w:r>
      <w:r w:rsidR="00366B6F">
        <w:rPr>
          <w:rFonts w:hint="eastAsia"/>
        </w:rPr>
        <w:t>自信過剰な企業からなる</w:t>
      </w:r>
      <w:r w:rsidR="001F5C96">
        <w:rPr>
          <w:rFonts w:hint="eastAsia"/>
        </w:rPr>
        <w:t>ポートフォリオの</w:t>
      </w:r>
      <w:r w:rsidR="00FD7E54">
        <w:rPr>
          <w:rFonts w:hint="eastAsia"/>
        </w:rPr>
        <w:t>価格とリターンの</w:t>
      </w:r>
      <w:r w:rsidR="0004174E">
        <w:rPr>
          <w:rFonts w:hint="eastAsia"/>
        </w:rPr>
        <w:t>時系列</w:t>
      </w:r>
      <w:r w:rsidR="00FD7E54">
        <w:rPr>
          <w:rFonts w:hint="eastAsia"/>
        </w:rPr>
        <w:t>プロット</w:t>
      </w:r>
      <w:r w:rsidR="00366B6F">
        <w:rPr>
          <w:rFonts w:hint="eastAsia"/>
        </w:rPr>
        <w:t>は図6に</w:t>
      </w:r>
      <w:r w:rsidR="0004174E">
        <w:rPr>
          <w:rFonts w:hint="eastAsia"/>
        </w:rPr>
        <w:t>とリターンの基本統計量は表4</w:t>
      </w:r>
      <w:r w:rsidR="00366B6F">
        <w:rPr>
          <w:rFonts w:hint="eastAsia"/>
        </w:rPr>
        <w:t>に記載した</w:t>
      </w:r>
      <w:r w:rsidR="001F5C96">
        <w:rPr>
          <w:rFonts w:hint="eastAsia"/>
        </w:rPr>
        <w:t>。</w:t>
      </w:r>
    </w:p>
    <w:p w14:paraId="3ABAD8CF" w14:textId="77777777" w:rsidR="008D1656" w:rsidRPr="0004174E" w:rsidRDefault="008D1656"/>
    <w:p w14:paraId="2D1C5C82" w14:textId="77777777" w:rsidR="008D1656" w:rsidRDefault="00BE5584" w:rsidP="00D2735C">
      <w:pPr>
        <w:jc w:val="center"/>
      </w:pPr>
      <w:r>
        <w:rPr>
          <w:noProof/>
        </w:rPr>
        <w:drawing>
          <wp:inline distT="0" distB="0" distL="0" distR="0" wp14:anchorId="671E0C76" wp14:editId="06D1041B">
            <wp:extent cx="4632385" cy="4632385"/>
            <wp:effectExtent l="0" t="0" r="0" b="0"/>
            <wp:docPr id="1322153244"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53244" name="図 1322153244"/>
                    <pic:cNvPicPr/>
                  </pic:nvPicPr>
                  <pic:blipFill>
                    <a:blip r:embed="rId13">
                      <a:extLst>
                        <a:ext uri="{28A0092B-C50C-407E-A947-70E740481C1C}">
                          <a14:useLocalDpi xmlns:a14="http://schemas.microsoft.com/office/drawing/2010/main" val="0"/>
                        </a:ext>
                      </a:extLst>
                    </a:blip>
                    <a:stretch>
                      <a:fillRect/>
                    </a:stretch>
                  </pic:blipFill>
                  <pic:spPr>
                    <a:xfrm>
                      <a:off x="0" y="0"/>
                      <a:ext cx="4639421" cy="4639421"/>
                    </a:xfrm>
                    <a:prstGeom prst="rect">
                      <a:avLst/>
                    </a:prstGeom>
                  </pic:spPr>
                </pic:pic>
              </a:graphicData>
            </a:graphic>
          </wp:inline>
        </w:drawing>
      </w:r>
    </w:p>
    <w:p w14:paraId="3415C2DD" w14:textId="77777777" w:rsidR="0004174E" w:rsidRDefault="0004174E" w:rsidP="00D2735C">
      <w:pPr>
        <w:jc w:val="center"/>
      </w:pPr>
      <w:r>
        <w:rPr>
          <w:rFonts w:hint="eastAsia"/>
        </w:rPr>
        <w:t>図6 ポートフォリオの価格とリターン</w:t>
      </w:r>
    </w:p>
    <w:p w14:paraId="41E177BE" w14:textId="77777777" w:rsidR="0004174E" w:rsidRDefault="0004174E" w:rsidP="00D2735C">
      <w:pPr>
        <w:jc w:val="center"/>
      </w:pPr>
    </w:p>
    <w:p w14:paraId="01BB9D9A" w14:textId="77777777" w:rsidR="00D2735C" w:rsidRDefault="0004174E" w:rsidP="00D2735C">
      <w:pPr>
        <w:jc w:val="center"/>
      </w:pPr>
      <w:r>
        <w:rPr>
          <w:rFonts w:hint="eastAsia"/>
        </w:rPr>
        <w:t>表4　ポートフォリオのリターンに関する</w:t>
      </w:r>
      <w:r w:rsidR="00D2735C">
        <w:rPr>
          <w:rFonts w:hint="eastAsia"/>
        </w:rPr>
        <w:t>基本統計量</w:t>
      </w:r>
    </w:p>
    <w:tbl>
      <w:tblPr>
        <w:tblStyle w:val="a5"/>
        <w:tblW w:w="0" w:type="auto"/>
        <w:jc w:val="center"/>
        <w:tblLook w:val="04A0" w:firstRow="1" w:lastRow="0" w:firstColumn="1" w:lastColumn="0" w:noHBand="0" w:noVBand="1"/>
      </w:tblPr>
      <w:tblGrid>
        <w:gridCol w:w="1110"/>
        <w:gridCol w:w="1110"/>
        <w:gridCol w:w="1118"/>
        <w:gridCol w:w="1252"/>
        <w:gridCol w:w="1302"/>
      </w:tblGrid>
      <w:tr w:rsidR="0062180A" w14:paraId="75C24183" w14:textId="77777777" w:rsidTr="00DB1DC6">
        <w:trPr>
          <w:jc w:val="center"/>
        </w:trPr>
        <w:tc>
          <w:tcPr>
            <w:tcW w:w="1110" w:type="dxa"/>
          </w:tcPr>
          <w:p w14:paraId="1599CDCD" w14:textId="77777777" w:rsidR="0062180A" w:rsidRDefault="0062180A" w:rsidP="003E73CF">
            <w:pPr>
              <w:jc w:val="center"/>
            </w:pPr>
            <w:r>
              <w:rPr>
                <w:rFonts w:hint="eastAsia"/>
              </w:rPr>
              <w:t>平均</w:t>
            </w:r>
          </w:p>
        </w:tc>
        <w:tc>
          <w:tcPr>
            <w:tcW w:w="1110" w:type="dxa"/>
          </w:tcPr>
          <w:p w14:paraId="4878F56F" w14:textId="77777777" w:rsidR="0062180A" w:rsidRDefault="0062180A" w:rsidP="003E73CF">
            <w:pPr>
              <w:jc w:val="center"/>
            </w:pPr>
            <w:r>
              <w:rPr>
                <w:rFonts w:hint="eastAsia"/>
              </w:rPr>
              <w:t>標準偏差</w:t>
            </w:r>
          </w:p>
        </w:tc>
        <w:tc>
          <w:tcPr>
            <w:tcW w:w="1118" w:type="dxa"/>
          </w:tcPr>
          <w:p w14:paraId="636C8A80" w14:textId="77777777" w:rsidR="0062180A" w:rsidRDefault="0062180A" w:rsidP="003E73CF">
            <w:pPr>
              <w:jc w:val="center"/>
            </w:pPr>
            <w:r>
              <w:rPr>
                <w:rFonts w:hint="eastAsia"/>
              </w:rPr>
              <w:t>標準誤差</w:t>
            </w:r>
          </w:p>
        </w:tc>
        <w:tc>
          <w:tcPr>
            <w:tcW w:w="1252" w:type="dxa"/>
          </w:tcPr>
          <w:p w14:paraId="560A2EE9" w14:textId="77777777" w:rsidR="0062180A" w:rsidRDefault="0062180A" w:rsidP="003E73CF">
            <w:pPr>
              <w:jc w:val="center"/>
            </w:pPr>
            <w:r>
              <w:rPr>
                <w:rFonts w:hint="eastAsia"/>
              </w:rPr>
              <w:t>最大値</w:t>
            </w:r>
          </w:p>
        </w:tc>
        <w:tc>
          <w:tcPr>
            <w:tcW w:w="1302" w:type="dxa"/>
          </w:tcPr>
          <w:p w14:paraId="5FB67563" w14:textId="77777777" w:rsidR="0062180A" w:rsidRDefault="0062180A" w:rsidP="003E73CF">
            <w:pPr>
              <w:jc w:val="center"/>
            </w:pPr>
            <w:r>
              <w:rPr>
                <w:rFonts w:hint="eastAsia"/>
              </w:rPr>
              <w:t>最小値</w:t>
            </w:r>
          </w:p>
        </w:tc>
      </w:tr>
      <w:tr w:rsidR="0062180A" w14:paraId="342B662D" w14:textId="77777777" w:rsidTr="00DB1DC6">
        <w:trPr>
          <w:jc w:val="center"/>
        </w:trPr>
        <w:tc>
          <w:tcPr>
            <w:tcW w:w="1110" w:type="dxa"/>
          </w:tcPr>
          <w:p w14:paraId="385823AB" w14:textId="77777777" w:rsidR="0062180A" w:rsidRDefault="0062180A" w:rsidP="003E73CF">
            <w:pPr>
              <w:jc w:val="center"/>
            </w:pPr>
            <w:r>
              <w:rPr>
                <w:rFonts w:hint="eastAsia"/>
              </w:rPr>
              <w:t>0.083</w:t>
            </w:r>
          </w:p>
        </w:tc>
        <w:tc>
          <w:tcPr>
            <w:tcW w:w="1110" w:type="dxa"/>
          </w:tcPr>
          <w:p w14:paraId="285D3250" w14:textId="77777777" w:rsidR="0062180A" w:rsidRDefault="0062180A" w:rsidP="003E73CF">
            <w:pPr>
              <w:jc w:val="center"/>
            </w:pPr>
            <w:r>
              <w:rPr>
                <w:rFonts w:hint="eastAsia"/>
              </w:rPr>
              <w:t>0.043</w:t>
            </w:r>
          </w:p>
        </w:tc>
        <w:tc>
          <w:tcPr>
            <w:tcW w:w="1118" w:type="dxa"/>
          </w:tcPr>
          <w:p w14:paraId="1A5FDCB7" w14:textId="77777777" w:rsidR="0062180A" w:rsidRDefault="0062180A" w:rsidP="003E73CF">
            <w:pPr>
              <w:jc w:val="center"/>
            </w:pPr>
            <w:r>
              <w:rPr>
                <w:rFonts w:hint="eastAsia"/>
              </w:rPr>
              <w:t>1.388</w:t>
            </w:r>
          </w:p>
        </w:tc>
        <w:tc>
          <w:tcPr>
            <w:tcW w:w="1252" w:type="dxa"/>
          </w:tcPr>
          <w:p w14:paraId="6AA30E0D" w14:textId="77777777" w:rsidR="0062180A" w:rsidRDefault="0062180A" w:rsidP="003E73CF">
            <w:pPr>
              <w:jc w:val="center"/>
            </w:pPr>
            <w:r>
              <w:rPr>
                <w:rFonts w:hint="eastAsia"/>
              </w:rPr>
              <w:t>5.472</w:t>
            </w:r>
          </w:p>
        </w:tc>
        <w:tc>
          <w:tcPr>
            <w:tcW w:w="1302" w:type="dxa"/>
          </w:tcPr>
          <w:p w14:paraId="0C5F040F" w14:textId="77777777" w:rsidR="0062180A" w:rsidRDefault="0062180A" w:rsidP="003E73CF">
            <w:pPr>
              <w:jc w:val="center"/>
            </w:pPr>
            <w:r>
              <w:rPr>
                <w:rFonts w:hint="eastAsia"/>
              </w:rPr>
              <w:t>-7.956</w:t>
            </w:r>
          </w:p>
        </w:tc>
      </w:tr>
      <w:tr w:rsidR="0062180A" w14:paraId="32DEB4DA" w14:textId="77777777" w:rsidTr="00DB1DC6">
        <w:trPr>
          <w:jc w:val="center"/>
        </w:trPr>
        <w:tc>
          <w:tcPr>
            <w:tcW w:w="1110" w:type="dxa"/>
          </w:tcPr>
          <w:p w14:paraId="7FFBA50F" w14:textId="77777777" w:rsidR="0062180A" w:rsidRDefault="0062180A" w:rsidP="0062180A">
            <w:pPr>
              <w:jc w:val="center"/>
            </w:pPr>
            <w:r>
              <w:rPr>
                <w:rFonts w:hint="eastAsia"/>
              </w:rPr>
              <w:t>歪度</w:t>
            </w:r>
          </w:p>
        </w:tc>
        <w:tc>
          <w:tcPr>
            <w:tcW w:w="1110" w:type="dxa"/>
          </w:tcPr>
          <w:p w14:paraId="73F8330C" w14:textId="77777777" w:rsidR="0062180A" w:rsidRDefault="0062180A" w:rsidP="0062180A">
            <w:pPr>
              <w:jc w:val="center"/>
            </w:pPr>
            <w:r>
              <w:rPr>
                <w:rFonts w:hint="eastAsia"/>
              </w:rPr>
              <w:t>歪度の</w:t>
            </w:r>
          </w:p>
          <w:p w14:paraId="13CB4448" w14:textId="77777777" w:rsidR="0062180A" w:rsidRDefault="0062180A" w:rsidP="0062180A">
            <w:pPr>
              <w:jc w:val="center"/>
            </w:pPr>
            <w:r>
              <w:rPr>
                <w:rFonts w:hint="eastAsia"/>
              </w:rPr>
              <w:t>標準誤差</w:t>
            </w:r>
          </w:p>
        </w:tc>
        <w:tc>
          <w:tcPr>
            <w:tcW w:w="1118" w:type="dxa"/>
          </w:tcPr>
          <w:p w14:paraId="78072770" w14:textId="77777777" w:rsidR="0062180A" w:rsidRDefault="0062180A" w:rsidP="0062180A">
            <w:pPr>
              <w:jc w:val="center"/>
            </w:pPr>
            <w:r>
              <w:rPr>
                <w:rFonts w:hint="eastAsia"/>
              </w:rPr>
              <w:t>尖度</w:t>
            </w:r>
          </w:p>
        </w:tc>
        <w:tc>
          <w:tcPr>
            <w:tcW w:w="1252" w:type="dxa"/>
          </w:tcPr>
          <w:p w14:paraId="4580F71D" w14:textId="77777777" w:rsidR="0062180A" w:rsidRDefault="0062180A" w:rsidP="0062180A">
            <w:pPr>
              <w:jc w:val="center"/>
            </w:pPr>
            <w:r>
              <w:rPr>
                <w:rFonts w:hint="eastAsia"/>
              </w:rPr>
              <w:t>尖度の</w:t>
            </w:r>
          </w:p>
          <w:p w14:paraId="7F94DE16" w14:textId="77777777" w:rsidR="0062180A" w:rsidRDefault="0062180A" w:rsidP="0062180A">
            <w:pPr>
              <w:jc w:val="center"/>
            </w:pPr>
            <w:r>
              <w:rPr>
                <w:rFonts w:hint="eastAsia"/>
              </w:rPr>
              <w:t>標準誤差</w:t>
            </w:r>
          </w:p>
        </w:tc>
        <w:tc>
          <w:tcPr>
            <w:tcW w:w="1302" w:type="dxa"/>
          </w:tcPr>
          <w:p w14:paraId="0D18E7EF" w14:textId="77777777" w:rsidR="0062180A" w:rsidRDefault="0062180A" w:rsidP="0062180A">
            <w:pPr>
              <w:jc w:val="center"/>
            </w:pPr>
            <w:proofErr w:type="spellStart"/>
            <w:r>
              <w:rPr>
                <w:rFonts w:hint="eastAsia"/>
              </w:rPr>
              <w:t>JargueBera</w:t>
            </w:r>
            <w:proofErr w:type="spellEnd"/>
          </w:p>
          <w:p w14:paraId="0F866BB5" w14:textId="77777777" w:rsidR="0062180A" w:rsidRDefault="0062180A" w:rsidP="0062180A">
            <w:pPr>
              <w:jc w:val="center"/>
            </w:pPr>
            <w:r>
              <w:rPr>
                <w:rFonts w:hint="eastAsia"/>
              </w:rPr>
              <w:t>統計量</w:t>
            </w:r>
          </w:p>
        </w:tc>
      </w:tr>
      <w:tr w:rsidR="0062180A" w14:paraId="04E56529" w14:textId="77777777" w:rsidTr="00DB1DC6">
        <w:trPr>
          <w:jc w:val="center"/>
        </w:trPr>
        <w:tc>
          <w:tcPr>
            <w:tcW w:w="1110" w:type="dxa"/>
          </w:tcPr>
          <w:p w14:paraId="24CCEE95" w14:textId="77777777" w:rsidR="0062180A" w:rsidRDefault="0062180A" w:rsidP="0062180A">
            <w:pPr>
              <w:jc w:val="center"/>
            </w:pPr>
            <w:r>
              <w:rPr>
                <w:rFonts w:hint="eastAsia"/>
              </w:rPr>
              <w:t>-0.567</w:t>
            </w:r>
          </w:p>
        </w:tc>
        <w:tc>
          <w:tcPr>
            <w:tcW w:w="1110" w:type="dxa"/>
          </w:tcPr>
          <w:p w14:paraId="64E9865F" w14:textId="77777777" w:rsidR="0062180A" w:rsidRDefault="0062180A" w:rsidP="0062180A">
            <w:pPr>
              <w:jc w:val="center"/>
            </w:pPr>
            <w:r>
              <w:rPr>
                <w:rFonts w:hint="eastAsia"/>
              </w:rPr>
              <w:t>0.075</w:t>
            </w:r>
          </w:p>
        </w:tc>
        <w:tc>
          <w:tcPr>
            <w:tcW w:w="1118" w:type="dxa"/>
          </w:tcPr>
          <w:p w14:paraId="6DD4C5D9" w14:textId="77777777" w:rsidR="0062180A" w:rsidRDefault="0062180A" w:rsidP="0062180A">
            <w:pPr>
              <w:jc w:val="center"/>
            </w:pPr>
            <w:r>
              <w:rPr>
                <w:rFonts w:hint="eastAsia"/>
              </w:rPr>
              <w:t>5.945</w:t>
            </w:r>
          </w:p>
        </w:tc>
        <w:tc>
          <w:tcPr>
            <w:tcW w:w="1252" w:type="dxa"/>
          </w:tcPr>
          <w:p w14:paraId="16B6FFC9" w14:textId="77777777" w:rsidR="0062180A" w:rsidRDefault="0062180A" w:rsidP="0062180A">
            <w:pPr>
              <w:jc w:val="center"/>
            </w:pPr>
            <w:r>
              <w:rPr>
                <w:rFonts w:hint="eastAsia"/>
              </w:rPr>
              <w:t>0.151</w:t>
            </w:r>
          </w:p>
        </w:tc>
        <w:tc>
          <w:tcPr>
            <w:tcW w:w="1302" w:type="dxa"/>
          </w:tcPr>
          <w:p w14:paraId="057F6F81" w14:textId="77777777" w:rsidR="0062180A" w:rsidRDefault="0062180A" w:rsidP="0062180A">
            <w:pPr>
              <w:jc w:val="center"/>
            </w:pPr>
            <w:r>
              <w:rPr>
                <w:rFonts w:hint="eastAsia"/>
              </w:rPr>
              <w:t>437.757</w:t>
            </w:r>
          </w:p>
        </w:tc>
      </w:tr>
    </w:tbl>
    <w:p w14:paraId="6F667955" w14:textId="77777777" w:rsidR="000F781F" w:rsidRDefault="000F781F"/>
    <w:p w14:paraId="4949AEDC" w14:textId="77777777" w:rsidR="00FD7E54" w:rsidRDefault="00AF689D">
      <w:r>
        <w:rPr>
          <w:rFonts w:hint="eastAsia"/>
        </w:rPr>
        <w:t xml:space="preserve">　</w:t>
      </w:r>
      <w:r w:rsidR="00366B6F">
        <w:rPr>
          <w:rFonts w:hint="eastAsia"/>
        </w:rPr>
        <w:t>自信過剰な企業からなる</w:t>
      </w:r>
      <w:r>
        <w:rPr>
          <w:rFonts w:hint="eastAsia"/>
        </w:rPr>
        <w:t>ポートフォリオのリターンの特徴を理解するために日経225の</w:t>
      </w:r>
      <w:r w:rsidR="003029F0">
        <w:rPr>
          <w:rFonts w:hint="eastAsia"/>
        </w:rPr>
        <w:t>日次の終値データを用いて計算された</w:t>
      </w:r>
      <w:r>
        <w:rPr>
          <w:rFonts w:hint="eastAsia"/>
        </w:rPr>
        <w:t>リターンと比較してみる。</w:t>
      </w:r>
      <w:r w:rsidR="005B0E7A">
        <w:rPr>
          <w:rFonts w:hint="eastAsia"/>
        </w:rPr>
        <w:t>日経225の日次の終値デ</w:t>
      </w:r>
      <w:r w:rsidR="005B0E7A">
        <w:rPr>
          <w:rFonts w:hint="eastAsia"/>
        </w:rPr>
        <w:lastRenderedPageBreak/>
        <w:t>ータは</w:t>
      </w:r>
      <w:r w:rsidR="005B0E7A">
        <w:t>日経NEEDS株価指数先物・オプションティックデータ</w:t>
      </w:r>
      <w:r w:rsidR="005B0E7A">
        <w:rPr>
          <w:rStyle w:val="a8"/>
        </w:rPr>
        <w:footnoteReference w:id="3"/>
      </w:r>
      <w:r w:rsidR="005B0E7A">
        <w:rPr>
          <w:rFonts w:hint="eastAsia"/>
        </w:rPr>
        <w:t>より得ている。</w:t>
      </w:r>
    </w:p>
    <w:p w14:paraId="2AC606DD" w14:textId="77777777" w:rsidR="00AF689D" w:rsidRDefault="00AF689D" w:rsidP="003F3545">
      <w:pPr>
        <w:ind w:firstLineChars="100" w:firstLine="210"/>
      </w:pPr>
      <w:r>
        <w:rPr>
          <w:rFonts w:hint="eastAsia"/>
        </w:rPr>
        <w:t>図7と表5は日経225のリターンの時系列プロットと基本統計量である。</w:t>
      </w:r>
    </w:p>
    <w:p w14:paraId="0A021711" w14:textId="77777777" w:rsidR="00AF689D" w:rsidRDefault="005A34DF" w:rsidP="005A34DF">
      <w:pPr>
        <w:jc w:val="center"/>
      </w:pPr>
      <w:r>
        <w:rPr>
          <w:rFonts w:hint="eastAsia"/>
          <w:noProof/>
        </w:rPr>
        <w:drawing>
          <wp:inline distT="0" distB="0" distL="0" distR="0" wp14:anchorId="1B972F3E" wp14:editId="11FC102E">
            <wp:extent cx="3994099" cy="3994099"/>
            <wp:effectExtent l="0" t="0" r="6985" b="6985"/>
            <wp:docPr id="16064432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3275" name="図 1606443275"/>
                    <pic:cNvPicPr/>
                  </pic:nvPicPr>
                  <pic:blipFill>
                    <a:blip r:embed="rId14">
                      <a:extLst>
                        <a:ext uri="{28A0092B-C50C-407E-A947-70E740481C1C}">
                          <a14:useLocalDpi xmlns:a14="http://schemas.microsoft.com/office/drawing/2010/main" val="0"/>
                        </a:ext>
                      </a:extLst>
                    </a:blip>
                    <a:stretch>
                      <a:fillRect/>
                    </a:stretch>
                  </pic:blipFill>
                  <pic:spPr>
                    <a:xfrm>
                      <a:off x="0" y="0"/>
                      <a:ext cx="3998352" cy="3998352"/>
                    </a:xfrm>
                    <a:prstGeom prst="rect">
                      <a:avLst/>
                    </a:prstGeom>
                  </pic:spPr>
                </pic:pic>
              </a:graphicData>
            </a:graphic>
          </wp:inline>
        </w:drawing>
      </w:r>
    </w:p>
    <w:p w14:paraId="0D3BA54B" w14:textId="77777777" w:rsidR="00FD7E54" w:rsidRDefault="005A34DF" w:rsidP="005A34DF">
      <w:pPr>
        <w:jc w:val="center"/>
      </w:pPr>
      <w:r>
        <w:rPr>
          <w:rFonts w:hint="eastAsia"/>
        </w:rPr>
        <w:t>図7　日経225の価格とリターン</w:t>
      </w:r>
    </w:p>
    <w:p w14:paraId="4440F7FA" w14:textId="77777777" w:rsidR="005A34DF" w:rsidRDefault="005A34DF" w:rsidP="005A34DF">
      <w:pPr>
        <w:jc w:val="center"/>
      </w:pPr>
    </w:p>
    <w:p w14:paraId="0B760179" w14:textId="77777777" w:rsidR="005A34DF" w:rsidRDefault="005A34DF" w:rsidP="005A34DF">
      <w:pPr>
        <w:jc w:val="center"/>
      </w:pPr>
      <w:r>
        <w:rPr>
          <w:rFonts w:hint="eastAsia"/>
        </w:rPr>
        <w:t>表5　日経225のリターンに関する基本統計量</w:t>
      </w:r>
    </w:p>
    <w:tbl>
      <w:tblPr>
        <w:tblStyle w:val="a5"/>
        <w:tblW w:w="0" w:type="auto"/>
        <w:jc w:val="center"/>
        <w:tblLook w:val="04A0" w:firstRow="1" w:lastRow="0" w:firstColumn="1" w:lastColumn="0" w:noHBand="0" w:noVBand="1"/>
      </w:tblPr>
      <w:tblGrid>
        <w:gridCol w:w="1110"/>
        <w:gridCol w:w="1110"/>
        <w:gridCol w:w="1118"/>
        <w:gridCol w:w="1252"/>
        <w:gridCol w:w="1302"/>
      </w:tblGrid>
      <w:tr w:rsidR="005A34DF" w14:paraId="0B9A66BF" w14:textId="77777777" w:rsidTr="00E93D02">
        <w:trPr>
          <w:jc w:val="center"/>
        </w:trPr>
        <w:tc>
          <w:tcPr>
            <w:tcW w:w="1110" w:type="dxa"/>
          </w:tcPr>
          <w:p w14:paraId="492335A8" w14:textId="77777777" w:rsidR="005A34DF" w:rsidRDefault="005A34DF" w:rsidP="00E93D02">
            <w:pPr>
              <w:jc w:val="center"/>
            </w:pPr>
            <w:r>
              <w:rPr>
                <w:rFonts w:hint="eastAsia"/>
              </w:rPr>
              <w:t>平均</w:t>
            </w:r>
          </w:p>
        </w:tc>
        <w:tc>
          <w:tcPr>
            <w:tcW w:w="1110" w:type="dxa"/>
          </w:tcPr>
          <w:p w14:paraId="66CE386F" w14:textId="77777777" w:rsidR="005A34DF" w:rsidRDefault="005A34DF" w:rsidP="00E93D02">
            <w:pPr>
              <w:jc w:val="center"/>
            </w:pPr>
            <w:r>
              <w:rPr>
                <w:rFonts w:hint="eastAsia"/>
              </w:rPr>
              <w:t>標準偏差</w:t>
            </w:r>
          </w:p>
        </w:tc>
        <w:tc>
          <w:tcPr>
            <w:tcW w:w="1118" w:type="dxa"/>
          </w:tcPr>
          <w:p w14:paraId="1057E254" w14:textId="77777777" w:rsidR="005A34DF" w:rsidRDefault="005A34DF" w:rsidP="00E93D02">
            <w:pPr>
              <w:jc w:val="center"/>
            </w:pPr>
            <w:r>
              <w:rPr>
                <w:rFonts w:hint="eastAsia"/>
              </w:rPr>
              <w:t>標準誤差</w:t>
            </w:r>
          </w:p>
        </w:tc>
        <w:tc>
          <w:tcPr>
            <w:tcW w:w="1252" w:type="dxa"/>
          </w:tcPr>
          <w:p w14:paraId="1692687D" w14:textId="77777777" w:rsidR="005A34DF" w:rsidRDefault="005A34DF" w:rsidP="00E93D02">
            <w:pPr>
              <w:jc w:val="center"/>
            </w:pPr>
            <w:r>
              <w:rPr>
                <w:rFonts w:hint="eastAsia"/>
              </w:rPr>
              <w:t>最大値</w:t>
            </w:r>
          </w:p>
        </w:tc>
        <w:tc>
          <w:tcPr>
            <w:tcW w:w="1302" w:type="dxa"/>
          </w:tcPr>
          <w:p w14:paraId="09BF5130" w14:textId="77777777" w:rsidR="005A34DF" w:rsidRDefault="005A34DF" w:rsidP="00E93D02">
            <w:pPr>
              <w:jc w:val="center"/>
            </w:pPr>
            <w:r>
              <w:rPr>
                <w:rFonts w:hint="eastAsia"/>
              </w:rPr>
              <w:t>最小値</w:t>
            </w:r>
          </w:p>
        </w:tc>
      </w:tr>
      <w:tr w:rsidR="005A34DF" w14:paraId="5F8DD309" w14:textId="77777777" w:rsidTr="00E93D02">
        <w:trPr>
          <w:jc w:val="center"/>
        </w:trPr>
        <w:tc>
          <w:tcPr>
            <w:tcW w:w="1110" w:type="dxa"/>
          </w:tcPr>
          <w:p w14:paraId="3D646BBA" w14:textId="77777777" w:rsidR="005A34DF" w:rsidRDefault="005A34DF" w:rsidP="00E93D02">
            <w:pPr>
              <w:jc w:val="center"/>
            </w:pPr>
            <w:r>
              <w:rPr>
                <w:rFonts w:hint="eastAsia"/>
              </w:rPr>
              <w:t>0.047</w:t>
            </w:r>
          </w:p>
        </w:tc>
        <w:tc>
          <w:tcPr>
            <w:tcW w:w="1110" w:type="dxa"/>
          </w:tcPr>
          <w:p w14:paraId="50859D34" w14:textId="77777777" w:rsidR="005A34DF" w:rsidRDefault="005A34DF" w:rsidP="00E93D02">
            <w:pPr>
              <w:jc w:val="center"/>
            </w:pPr>
            <w:r>
              <w:rPr>
                <w:rFonts w:hint="eastAsia"/>
              </w:rPr>
              <w:t>0.039</w:t>
            </w:r>
          </w:p>
        </w:tc>
        <w:tc>
          <w:tcPr>
            <w:tcW w:w="1118" w:type="dxa"/>
          </w:tcPr>
          <w:p w14:paraId="30ECBD8A" w14:textId="77777777" w:rsidR="005A34DF" w:rsidRDefault="005A34DF" w:rsidP="00E93D02">
            <w:pPr>
              <w:jc w:val="center"/>
            </w:pPr>
            <w:r>
              <w:rPr>
                <w:rFonts w:hint="eastAsia"/>
              </w:rPr>
              <w:t>1.282</w:t>
            </w:r>
          </w:p>
        </w:tc>
        <w:tc>
          <w:tcPr>
            <w:tcW w:w="1252" w:type="dxa"/>
          </w:tcPr>
          <w:p w14:paraId="05303552" w14:textId="77777777" w:rsidR="005A34DF" w:rsidRDefault="005A34DF" w:rsidP="00E93D02">
            <w:pPr>
              <w:jc w:val="center"/>
            </w:pPr>
            <w:r>
              <w:rPr>
                <w:rFonts w:hint="eastAsia"/>
              </w:rPr>
              <w:t>7.731</w:t>
            </w:r>
          </w:p>
        </w:tc>
        <w:tc>
          <w:tcPr>
            <w:tcW w:w="1302" w:type="dxa"/>
          </w:tcPr>
          <w:p w14:paraId="257A4AA1" w14:textId="77777777" w:rsidR="005A34DF" w:rsidRDefault="005A34DF" w:rsidP="00E93D02">
            <w:pPr>
              <w:jc w:val="center"/>
            </w:pPr>
            <w:r>
              <w:rPr>
                <w:rFonts w:hint="eastAsia"/>
              </w:rPr>
              <w:t>-6.274</w:t>
            </w:r>
          </w:p>
        </w:tc>
      </w:tr>
      <w:tr w:rsidR="005A34DF" w14:paraId="23FA961D" w14:textId="77777777" w:rsidTr="00E93D02">
        <w:trPr>
          <w:jc w:val="center"/>
        </w:trPr>
        <w:tc>
          <w:tcPr>
            <w:tcW w:w="1110" w:type="dxa"/>
          </w:tcPr>
          <w:p w14:paraId="5EE5E439" w14:textId="77777777" w:rsidR="005A34DF" w:rsidRDefault="005A34DF" w:rsidP="00E93D02">
            <w:pPr>
              <w:jc w:val="center"/>
            </w:pPr>
            <w:r>
              <w:rPr>
                <w:rFonts w:hint="eastAsia"/>
              </w:rPr>
              <w:t>歪度</w:t>
            </w:r>
          </w:p>
        </w:tc>
        <w:tc>
          <w:tcPr>
            <w:tcW w:w="1110" w:type="dxa"/>
          </w:tcPr>
          <w:p w14:paraId="34714463" w14:textId="77777777" w:rsidR="005A34DF" w:rsidRDefault="005A34DF" w:rsidP="00E93D02">
            <w:pPr>
              <w:jc w:val="center"/>
            </w:pPr>
            <w:r>
              <w:rPr>
                <w:rFonts w:hint="eastAsia"/>
              </w:rPr>
              <w:t>歪度の</w:t>
            </w:r>
          </w:p>
          <w:p w14:paraId="78595018" w14:textId="77777777" w:rsidR="005A34DF" w:rsidRDefault="005A34DF" w:rsidP="00E93D02">
            <w:pPr>
              <w:jc w:val="center"/>
            </w:pPr>
            <w:r>
              <w:rPr>
                <w:rFonts w:hint="eastAsia"/>
              </w:rPr>
              <w:t>標準誤差</w:t>
            </w:r>
          </w:p>
        </w:tc>
        <w:tc>
          <w:tcPr>
            <w:tcW w:w="1118" w:type="dxa"/>
          </w:tcPr>
          <w:p w14:paraId="1562A986" w14:textId="77777777" w:rsidR="005A34DF" w:rsidRDefault="005A34DF" w:rsidP="00E93D02">
            <w:pPr>
              <w:jc w:val="center"/>
            </w:pPr>
            <w:r>
              <w:rPr>
                <w:rFonts w:hint="eastAsia"/>
              </w:rPr>
              <w:t>尖度</w:t>
            </w:r>
          </w:p>
        </w:tc>
        <w:tc>
          <w:tcPr>
            <w:tcW w:w="1252" w:type="dxa"/>
          </w:tcPr>
          <w:p w14:paraId="050E3673" w14:textId="77777777" w:rsidR="005A34DF" w:rsidRDefault="005A34DF" w:rsidP="00E93D02">
            <w:pPr>
              <w:jc w:val="center"/>
            </w:pPr>
            <w:r>
              <w:rPr>
                <w:rFonts w:hint="eastAsia"/>
              </w:rPr>
              <w:t>尖度の</w:t>
            </w:r>
          </w:p>
          <w:p w14:paraId="0D4B992C" w14:textId="77777777" w:rsidR="005A34DF" w:rsidRDefault="005A34DF" w:rsidP="00E93D02">
            <w:pPr>
              <w:jc w:val="center"/>
            </w:pPr>
            <w:r>
              <w:rPr>
                <w:rFonts w:hint="eastAsia"/>
              </w:rPr>
              <w:t>標準誤差</w:t>
            </w:r>
          </w:p>
        </w:tc>
        <w:tc>
          <w:tcPr>
            <w:tcW w:w="1302" w:type="dxa"/>
          </w:tcPr>
          <w:p w14:paraId="283FD3B9" w14:textId="77777777" w:rsidR="005A34DF" w:rsidRDefault="005A34DF" w:rsidP="00E93D02">
            <w:pPr>
              <w:jc w:val="center"/>
            </w:pPr>
            <w:proofErr w:type="spellStart"/>
            <w:r>
              <w:rPr>
                <w:rFonts w:hint="eastAsia"/>
              </w:rPr>
              <w:t>JargueBera</w:t>
            </w:r>
            <w:proofErr w:type="spellEnd"/>
          </w:p>
          <w:p w14:paraId="33AA3687" w14:textId="77777777" w:rsidR="005A34DF" w:rsidRDefault="005A34DF" w:rsidP="00E93D02">
            <w:pPr>
              <w:jc w:val="center"/>
            </w:pPr>
            <w:r>
              <w:rPr>
                <w:rFonts w:hint="eastAsia"/>
              </w:rPr>
              <w:t>統計量</w:t>
            </w:r>
          </w:p>
        </w:tc>
      </w:tr>
      <w:tr w:rsidR="005A34DF" w14:paraId="48F2C4E0" w14:textId="77777777" w:rsidTr="00E93D02">
        <w:trPr>
          <w:jc w:val="center"/>
        </w:trPr>
        <w:tc>
          <w:tcPr>
            <w:tcW w:w="1110" w:type="dxa"/>
          </w:tcPr>
          <w:p w14:paraId="5F5D8B6F" w14:textId="77777777" w:rsidR="005A34DF" w:rsidRDefault="005A34DF" w:rsidP="00E93D02">
            <w:pPr>
              <w:jc w:val="center"/>
            </w:pPr>
            <w:r>
              <w:rPr>
                <w:rFonts w:hint="eastAsia"/>
              </w:rPr>
              <w:t>0.039</w:t>
            </w:r>
          </w:p>
        </w:tc>
        <w:tc>
          <w:tcPr>
            <w:tcW w:w="1110" w:type="dxa"/>
          </w:tcPr>
          <w:p w14:paraId="22BB044E" w14:textId="77777777" w:rsidR="005A34DF" w:rsidRDefault="005A34DF" w:rsidP="00E93D02">
            <w:pPr>
              <w:jc w:val="center"/>
            </w:pPr>
            <w:r>
              <w:rPr>
                <w:rFonts w:hint="eastAsia"/>
              </w:rPr>
              <w:t>0.075</w:t>
            </w:r>
          </w:p>
        </w:tc>
        <w:tc>
          <w:tcPr>
            <w:tcW w:w="1118" w:type="dxa"/>
          </w:tcPr>
          <w:p w14:paraId="7BA0FC26" w14:textId="77777777" w:rsidR="005A34DF" w:rsidRDefault="005A34DF" w:rsidP="00E93D02">
            <w:pPr>
              <w:jc w:val="center"/>
            </w:pPr>
            <w:r>
              <w:rPr>
                <w:rFonts w:hint="eastAsia"/>
              </w:rPr>
              <w:t>5.946</w:t>
            </w:r>
          </w:p>
        </w:tc>
        <w:tc>
          <w:tcPr>
            <w:tcW w:w="1252" w:type="dxa"/>
          </w:tcPr>
          <w:p w14:paraId="69F63982" w14:textId="77777777" w:rsidR="005A34DF" w:rsidRDefault="005A34DF" w:rsidP="00E93D02">
            <w:pPr>
              <w:jc w:val="center"/>
            </w:pPr>
            <w:r>
              <w:rPr>
                <w:rFonts w:hint="eastAsia"/>
              </w:rPr>
              <w:t>0.151</w:t>
            </w:r>
          </w:p>
        </w:tc>
        <w:tc>
          <w:tcPr>
            <w:tcW w:w="1302" w:type="dxa"/>
          </w:tcPr>
          <w:p w14:paraId="26092C3C" w14:textId="77777777" w:rsidR="005A34DF" w:rsidRDefault="005A34DF" w:rsidP="00E93D02">
            <w:pPr>
              <w:jc w:val="center"/>
            </w:pPr>
            <w:r>
              <w:rPr>
                <w:rFonts w:hint="eastAsia"/>
              </w:rPr>
              <w:t>381.712</w:t>
            </w:r>
          </w:p>
        </w:tc>
      </w:tr>
    </w:tbl>
    <w:p w14:paraId="24779F5E" w14:textId="77777777" w:rsidR="000F781F" w:rsidRDefault="000F781F" w:rsidP="003F3545"/>
    <w:p w14:paraId="1C299265" w14:textId="77777777" w:rsidR="003F3545" w:rsidRDefault="005A34DF" w:rsidP="00B63942">
      <w:pPr>
        <w:jc w:val="left"/>
      </w:pPr>
      <w:r>
        <w:rPr>
          <w:rFonts w:hint="eastAsia"/>
        </w:rPr>
        <w:t xml:space="preserve">　</w:t>
      </w:r>
      <w:r w:rsidR="00B63942">
        <w:rPr>
          <w:rFonts w:hint="eastAsia"/>
        </w:rPr>
        <w:t>２つのリターンを比較すると、</w:t>
      </w:r>
      <w:r w:rsidR="00366B6F">
        <w:rPr>
          <w:rFonts w:hint="eastAsia"/>
        </w:rPr>
        <w:t>自信過剰な企業からなる</w:t>
      </w:r>
      <w:r w:rsidR="00B63942">
        <w:rPr>
          <w:rFonts w:hint="eastAsia"/>
        </w:rPr>
        <w:t>ポートフォリオのリターンは株価指数である日経225のリターンよりも高いことが分かる。2章で述べたように自信過剰な企業は積極的な投資を行うため、</w:t>
      </w:r>
      <w:r w:rsidR="00366B6F">
        <w:rPr>
          <w:rFonts w:hint="eastAsia"/>
        </w:rPr>
        <w:t>時には</w:t>
      </w:r>
      <w:r w:rsidR="00B63942">
        <w:rPr>
          <w:rFonts w:hint="eastAsia"/>
        </w:rPr>
        <w:t>大きなリターンを得ることが出来る</w:t>
      </w:r>
      <w:r w:rsidR="00366B6F">
        <w:rPr>
          <w:rFonts w:hint="eastAsia"/>
        </w:rPr>
        <w:t>ことによる結果だと思われる</w:t>
      </w:r>
      <w:r w:rsidR="00B63942">
        <w:rPr>
          <w:rFonts w:hint="eastAsia"/>
        </w:rPr>
        <w:t>。</w:t>
      </w:r>
    </w:p>
    <w:p w14:paraId="01E1FDD8" w14:textId="77777777" w:rsidR="00B63942" w:rsidRDefault="003F3545" w:rsidP="003F3545">
      <w:pPr>
        <w:ind w:firstLineChars="100" w:firstLine="210"/>
        <w:jc w:val="left"/>
      </w:pPr>
      <w:r>
        <w:rPr>
          <w:rFonts w:hint="eastAsia"/>
        </w:rPr>
        <w:t>リターンは高い一方でやはり</w:t>
      </w:r>
      <w:r w:rsidR="00B63942">
        <w:rPr>
          <w:rFonts w:hint="eastAsia"/>
        </w:rPr>
        <w:t>ポートフォリオの</w:t>
      </w:r>
      <w:r>
        <w:rPr>
          <w:rFonts w:hint="eastAsia"/>
        </w:rPr>
        <w:t>標準偏差は日経225よりも高く、また歪</w:t>
      </w:r>
      <w:r>
        <w:rPr>
          <w:rFonts w:hint="eastAsia"/>
        </w:rPr>
        <w:lastRenderedPageBreak/>
        <w:t>度を見るとポートフォリオのリターンの分布</w:t>
      </w:r>
      <w:r w:rsidR="00B63942">
        <w:rPr>
          <w:rFonts w:hint="eastAsia"/>
        </w:rPr>
        <w:t>は</w:t>
      </w:r>
      <w:r w:rsidR="00366B6F">
        <w:rPr>
          <w:rFonts w:hint="eastAsia"/>
        </w:rPr>
        <w:t>日経225のリターンと比較して</w:t>
      </w:r>
      <w:r w:rsidR="00B63942">
        <w:rPr>
          <w:rFonts w:hint="eastAsia"/>
        </w:rPr>
        <w:t>若干マイナス側に寄っていることが分か</w:t>
      </w:r>
      <w:r>
        <w:rPr>
          <w:rFonts w:hint="eastAsia"/>
        </w:rPr>
        <w:t>る。このことからもポートフォリオのリスクは相対的にマイナス方向に高い可能性があることが示された。</w:t>
      </w:r>
    </w:p>
    <w:p w14:paraId="55D3F014" w14:textId="77777777" w:rsidR="0062180A" w:rsidRDefault="00FB72C3" w:rsidP="00FB72C3">
      <w:pPr>
        <w:jc w:val="left"/>
      </w:pPr>
      <w:r>
        <w:br w:type="column"/>
      </w:r>
      <w:r w:rsidR="0062180A">
        <w:rPr>
          <w:rFonts w:hint="eastAsia"/>
        </w:rPr>
        <w:lastRenderedPageBreak/>
        <w:t>3章</w:t>
      </w:r>
      <w:r w:rsidR="0004174E">
        <w:rPr>
          <w:rFonts w:hint="eastAsia"/>
        </w:rPr>
        <w:t xml:space="preserve">　ボラティリティクラスタリングモデルの説明</w:t>
      </w:r>
    </w:p>
    <w:p w14:paraId="3EAE1A57" w14:textId="77777777" w:rsidR="0004174E" w:rsidRDefault="0004174E"/>
    <w:p w14:paraId="38355BBD" w14:textId="77777777" w:rsidR="0062180A" w:rsidRDefault="0004174E">
      <w:r>
        <w:rPr>
          <w:rFonts w:hint="eastAsia"/>
        </w:rPr>
        <w:t xml:space="preserve">3.1 </w:t>
      </w:r>
      <w:r w:rsidR="0062180A">
        <w:rPr>
          <w:rFonts w:hint="eastAsia"/>
        </w:rPr>
        <w:t>ARCH</w:t>
      </w:r>
      <w:r w:rsidR="000C4D0D">
        <w:rPr>
          <w:rFonts w:hint="eastAsia"/>
        </w:rPr>
        <w:t>型モデル</w:t>
      </w:r>
    </w:p>
    <w:p w14:paraId="720D3D38" w14:textId="77777777" w:rsidR="003F3545" w:rsidRDefault="003F3545">
      <w:r>
        <w:rPr>
          <w:rFonts w:hint="eastAsia"/>
        </w:rPr>
        <w:t xml:space="preserve">　本章ではポートフォリオのボラティリティについてより詳細に分析していく。なお本章での説明は渡部(2000)に基づく。</w:t>
      </w:r>
    </w:p>
    <w:p w14:paraId="00F28C34" w14:textId="77777777" w:rsidR="00AA7A05" w:rsidRDefault="008C51B6">
      <w:r>
        <w:rPr>
          <w:rFonts w:hint="eastAsia"/>
        </w:rPr>
        <w:t xml:space="preserve">　</w:t>
      </w:r>
      <w:r w:rsidR="00AE417D">
        <w:rPr>
          <w:rFonts w:hint="eastAsia"/>
        </w:rPr>
        <w:t>資産価格のボラティリティとはリターンの分散もしくは標準偏差のことを言う。ボラティリティは観測が出来ないので推定をする必要がある。これまではボラティリティは一定であると仮定したもとで推定を行ってきたが、実際の金融市場を見るとボラティリティは時間を通じて変動していたことから、ボラティリティ</w:t>
      </w:r>
      <w:r w:rsidR="00AA7A05">
        <w:rPr>
          <w:rFonts w:hint="eastAsia"/>
        </w:rPr>
        <w:t>の変動を明示的に定式化するモデルが提案されるようになった。ボラティリティ変動モデルとして主にARCH型モデルとSVモデルという2つのモデルが使われているが、本レポートではARCH型モデルを利用する。よって4章以降の結果はARCH型モデルから得られた示唆であり、SVモデルを使用した場合は結果が異なる可能性があることをここで明示しておく。</w:t>
      </w:r>
    </w:p>
    <w:p w14:paraId="73F947EE" w14:textId="77777777" w:rsidR="000C4D0D" w:rsidRDefault="00AA7A05" w:rsidP="003F3545">
      <w:pPr>
        <w:ind w:firstLineChars="100" w:firstLine="210"/>
      </w:pPr>
      <w:r>
        <w:rPr>
          <w:rFonts w:hint="eastAsia"/>
        </w:rPr>
        <w:t>ARCH型モデルとして</w:t>
      </w:r>
      <w:r w:rsidR="008C51B6">
        <w:rPr>
          <w:rFonts w:hint="eastAsia"/>
        </w:rPr>
        <w:t>Engle(1982)は次のようなリターンの定式化を提案した。</w:t>
      </w:r>
    </w:p>
    <w:p w14:paraId="3D4979A3" w14:textId="77777777" w:rsidR="008C51B6" w:rsidRDefault="00000000">
      <m:oMathPara>
        <m:oMath>
          <m:sSub>
            <m:sSubPr>
              <m:ctrlPr>
                <w:rPr>
                  <w:rFonts w:ascii="Cambria Math" w:hAnsi="Cambria Math"/>
                  <w:i/>
                </w:rPr>
              </m:ctrlPr>
            </m:sSubPr>
            <m:e>
              <m:r>
                <w:rPr>
                  <w:rFonts w:ascii="Cambria Math" w:hAnsi="Cambria Math" w:hint="eastAsia"/>
                </w:rPr>
                <m:t>R</m:t>
              </m:r>
            </m:e>
            <m:sub>
              <m:r>
                <w:rPr>
                  <w:rFonts w:ascii="Cambria Math" w:hAnsi="Cambria Math"/>
                </w:rPr>
                <m:t>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I</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t</m:t>
              </m:r>
            </m:sub>
          </m:sSub>
        </m:oMath>
      </m:oMathPara>
    </w:p>
    <w:p w14:paraId="46CC311D" w14:textId="77777777" w:rsidR="00AE417D" w:rsidRPr="00AE417D" w:rsidRDefault="00000000">
      <m:oMathPara>
        <m:oMath>
          <m:sSub>
            <m:sSubPr>
              <m:ctrlPr>
                <w:rPr>
                  <w:rFonts w:ascii="Cambria Math" w:hAnsi="Cambria Math"/>
                  <w:i/>
                </w:rPr>
              </m:ctrlPr>
            </m:sSubPr>
            <m:e>
              <m:r>
                <w:rPr>
                  <w:rFonts w:ascii="Cambria Math" w:hAnsi="Cambria Math" w:hint="eastAsia"/>
                </w:rPr>
                <m:t>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&gt;0</m:t>
          </m:r>
        </m:oMath>
      </m:oMathPara>
    </w:p>
    <w:p w14:paraId="228509A4" w14:textId="77777777" w:rsidR="000C4D0D" w:rsidRPr="00AA7A05" w:rsidRDefault="00000000">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~i.i.d., 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=0, Var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=1</m:t>
          </m:r>
        </m:oMath>
      </m:oMathPara>
    </w:p>
    <w:p w14:paraId="64CFA5D4" w14:textId="77777777" w:rsidR="00AA7A05" w:rsidRPr="00AA7A05" w:rsidRDefault="00000000">
      <w:pP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=ω+</m:t>
          </m:r>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α</m:t>
                  </m:r>
                </m:e>
                <m:sub>
                  <m:r>
                    <w:rPr>
                      <w:rFonts w:ascii="Cambria Math" w:hAnsi="Cambria Math"/>
                    </w:rPr>
                    <m:t>j</m:t>
                  </m:r>
                </m:sub>
              </m:sSub>
              <m:sSubSup>
                <m:sSubSupPr>
                  <m:ctrlPr>
                    <w:rPr>
                      <w:rFonts w:ascii="Cambria Math" w:hAnsi="Cambria Math"/>
                      <w:i/>
                    </w:rPr>
                  </m:ctrlPr>
                </m:sSubSupPr>
                <m:e>
                  <m:r>
                    <w:rPr>
                      <w:rFonts w:ascii="Cambria Math" w:hAnsi="Cambria Math"/>
                    </w:rPr>
                    <m:t>ε</m:t>
                  </m:r>
                </m:e>
                <m:sub>
                  <m:r>
                    <w:rPr>
                      <w:rFonts w:ascii="Cambria Math" w:hAnsi="Cambria Math"/>
                    </w:rPr>
                    <m:t>t-j</m:t>
                  </m:r>
                </m:sub>
                <m:sup>
                  <m:r>
                    <w:rPr>
                      <w:rFonts w:ascii="Cambria Math" w:hAnsi="Cambria Math"/>
                    </w:rPr>
                    <m:t>2</m:t>
                  </m:r>
                </m:sup>
              </m:sSubSup>
            </m:e>
          </m:nary>
          <m:r>
            <w:rPr>
              <w:rFonts w:ascii="Cambria Math" w:hAnsi="Cambria Math"/>
            </w:rPr>
            <m:t xml:space="preserve">, ω&gt;0,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≥0 (j=1,…,q)</m:t>
          </m:r>
        </m:oMath>
      </m:oMathPara>
    </w:p>
    <w:p w14:paraId="0D199A46" w14:textId="77777777" w:rsidR="0062180A" w:rsidRDefault="00AA7A05" w:rsidP="008004D1">
      <w:pPr>
        <w:ind w:firstLineChars="100" w:firstLine="210"/>
      </w:pPr>
      <w:r>
        <w:rPr>
          <w:rFonts w:hint="eastAsia"/>
        </w:rPr>
        <w:t>このモデルは</w:t>
      </w:r>
      <w:r w:rsidR="004F7E8B">
        <w:rPr>
          <w:rFonts w:hint="eastAsia"/>
        </w:rPr>
        <w:t>ラグ数</w:t>
      </w:r>
      <w:r>
        <w:rPr>
          <w:rFonts w:hint="eastAsia"/>
        </w:rPr>
        <w:t>q</w:t>
      </w:r>
      <w:r w:rsidR="004F7E8B">
        <w:rPr>
          <w:rFonts w:hint="eastAsia"/>
        </w:rPr>
        <w:t>が大きくなるとパラメータ数が増えてしまい、推定が煩雑になってしまうという問題がある。よって</w:t>
      </w:r>
      <w:r w:rsidR="008004D1">
        <w:rPr>
          <w:rFonts w:hint="eastAsia"/>
        </w:rPr>
        <w:t xml:space="preserve">Engle and </w:t>
      </w:r>
      <w:r w:rsidR="004F7E8B">
        <w:rPr>
          <w:rFonts w:hint="eastAsia"/>
        </w:rPr>
        <w:t>Bollerslev(1986)はARCHモデルを一般化したGARCHモデルを作成した。</w:t>
      </w:r>
    </w:p>
    <w:p w14:paraId="2A402441" w14:textId="77777777" w:rsidR="004F7E8B" w:rsidRPr="004F7E8B" w:rsidRDefault="00000000" w:rsidP="004F7E8B">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=ω+</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hint="eastAsia"/>
                    </w:rPr>
                    <m:t>β</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α</m:t>
                  </m:r>
                </m:e>
                <m:sub>
                  <m:r>
                    <w:rPr>
                      <w:rFonts w:ascii="Cambria Math" w:hAnsi="Cambria Math"/>
                    </w:rPr>
                    <m:t>j</m:t>
                  </m:r>
                </m:sub>
              </m:sSub>
              <m:sSubSup>
                <m:sSubSupPr>
                  <m:ctrlPr>
                    <w:rPr>
                      <w:rFonts w:ascii="Cambria Math" w:hAnsi="Cambria Math"/>
                      <w:i/>
                    </w:rPr>
                  </m:ctrlPr>
                </m:sSubSupPr>
                <m:e>
                  <m:r>
                    <w:rPr>
                      <w:rFonts w:ascii="Cambria Math" w:hAnsi="Cambria Math"/>
                    </w:rPr>
                    <m:t>ε</m:t>
                  </m:r>
                </m:e>
                <m:sub>
                  <m:r>
                    <w:rPr>
                      <w:rFonts w:ascii="Cambria Math" w:hAnsi="Cambria Math"/>
                    </w:rPr>
                    <m:t>t-j</m:t>
                  </m:r>
                </m:sub>
                <m:sup>
                  <m:r>
                    <w:rPr>
                      <w:rFonts w:ascii="Cambria Math" w:hAnsi="Cambria Math"/>
                    </w:rPr>
                    <m:t>2</m:t>
                  </m:r>
                </m:sup>
              </m:sSubSup>
            </m:e>
          </m:nary>
          <m:r>
            <w:rPr>
              <w:rFonts w:ascii="Cambria Math" w:hAnsi="Cambria Math"/>
            </w:rPr>
            <m:t xml:space="preserve">, </m:t>
          </m:r>
        </m:oMath>
      </m:oMathPara>
    </w:p>
    <w:p w14:paraId="79BBAD9F" w14:textId="77777777" w:rsidR="004F7E8B" w:rsidRPr="00AA7A05" w:rsidRDefault="004F7E8B" w:rsidP="004F7E8B">
      <w:pPr>
        <w:rPr>
          <w:i/>
        </w:rPr>
      </w:pPr>
      <m:oMathPara>
        <m:oMath>
          <m:r>
            <w:rPr>
              <w:rFonts w:ascii="Cambria Math" w:hAnsi="Cambria Math"/>
            </w:rPr>
            <m:t xml:space="preserve">ω&gt;0,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i</m:t>
              </m:r>
            </m:sub>
          </m:sSub>
          <m:r>
            <w:rPr>
              <w:rFonts w:ascii="Cambria Math" w:hAnsi="Cambria Math"/>
            </w:rPr>
            <m:t>≥0 (i=1,..,p;j=1,…,q)</m:t>
          </m:r>
        </m:oMath>
      </m:oMathPara>
    </w:p>
    <w:p w14:paraId="3000AF10" w14:textId="77777777" w:rsidR="004F7E8B" w:rsidRDefault="004F7E8B"/>
    <w:p w14:paraId="2548CDDC" w14:textId="77777777" w:rsidR="004F7E8B" w:rsidRDefault="004F7E8B" w:rsidP="008004D1">
      <w:pPr>
        <w:ind w:firstLineChars="100" w:firstLine="210"/>
      </w:pPr>
      <w:r>
        <w:rPr>
          <w:rFonts w:hint="eastAsia"/>
        </w:rPr>
        <w:t>例えばGARCH(1,1)モデルを変形するとARCH(∞)として書き直すことが出来ることが知られており、少ないパラメータ数でモデルを表現できるようになった。</w:t>
      </w:r>
    </w:p>
    <w:p w14:paraId="750E2A9D" w14:textId="77777777" w:rsidR="008004D1" w:rsidRDefault="00423FD4" w:rsidP="008004D1">
      <w:pPr>
        <w:ind w:firstLineChars="100" w:firstLine="210"/>
        <w:rPr>
          <w:i/>
        </w:rPr>
      </w:pPr>
      <w:r>
        <w:rPr>
          <w:rFonts w:hint="eastAsia"/>
        </w:rPr>
        <w:t>なお、GARCH(1,1)モデルではt→∞のときボラティリティ</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hint="eastAsia"/>
        </w:rPr>
        <w:t>が発散しないための条件として、</w:t>
      </w:r>
      <m:oMath>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≤1</m:t>
        </m:r>
      </m:oMath>
      <w:r>
        <w:rPr>
          <w:rFonts w:hint="eastAsia"/>
        </w:rPr>
        <w:t>という条件を課す。特に</w:t>
      </w:r>
      <m:oMath>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&lt;1</m:t>
        </m:r>
      </m:oMath>
      <w:r>
        <w:rPr>
          <w:rFonts w:hint="eastAsia"/>
        </w:rPr>
        <w:t>のときは、t→∞のときボラティリティ</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hint="eastAsia"/>
        </w:rPr>
        <w:t>は定常値</w:t>
      </w:r>
      <m:oMath>
        <m:f>
          <m:fPr>
            <m:ctrlPr>
              <w:rPr>
                <w:rFonts w:ascii="Cambria Math" w:hAnsi="Cambria Math"/>
                <w:i/>
              </w:rPr>
            </m:ctrlPr>
          </m:fPr>
          <m:num>
            <m:r>
              <w:rPr>
                <w:rFonts w:ascii="Cambria Math" w:hAnsi="Cambria Math"/>
              </w:rPr>
              <m:t>ω</m:t>
            </m:r>
          </m:num>
          <m:den>
            <m:r>
              <w:rPr>
                <w:rFonts w:ascii="Cambria Math" w:hAnsi="Cambria Math"/>
              </w:rPr>
              <m:t>1-α-β</m:t>
            </m:r>
          </m:den>
        </m:f>
      </m:oMath>
      <w:r>
        <w:rPr>
          <w:rFonts w:hint="eastAsia"/>
        </w:rPr>
        <w:t>に近づいていく。一方で</w:t>
      </w:r>
      <m:oMath>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=1</m:t>
        </m:r>
      </m:oMath>
      <w:r>
        <w:rPr>
          <w:rFonts w:hint="eastAsia"/>
        </w:rPr>
        <w:t>のときはボラティリティのショックは永久に消滅せず、このようなモデルはIntegrated GARCH(IGARCH)として知られている。</w:t>
      </w:r>
    </w:p>
    <w:p w14:paraId="3B85C3FE" w14:textId="77777777" w:rsidR="0004174E" w:rsidRPr="008004D1" w:rsidRDefault="008004D1" w:rsidP="008004D1">
      <w:pPr>
        <w:widowControl/>
        <w:jc w:val="left"/>
        <w:rPr>
          <w:i/>
        </w:rPr>
      </w:pPr>
      <w:r>
        <w:rPr>
          <w:i/>
        </w:rPr>
        <w:br w:type="page"/>
      </w:r>
    </w:p>
    <w:p w14:paraId="15BCC3F6" w14:textId="77777777" w:rsidR="0062180A" w:rsidRDefault="0062180A">
      <w:r>
        <w:rPr>
          <w:rFonts w:hint="eastAsia"/>
        </w:rPr>
        <w:lastRenderedPageBreak/>
        <w:t>4章</w:t>
      </w:r>
      <w:r w:rsidR="0004174E">
        <w:rPr>
          <w:rFonts w:hint="eastAsia"/>
        </w:rPr>
        <w:t xml:space="preserve">　分析結果</w:t>
      </w:r>
    </w:p>
    <w:p w14:paraId="05B6824C" w14:textId="77777777" w:rsidR="0004174E" w:rsidRDefault="0004174E"/>
    <w:p w14:paraId="45B14D7D" w14:textId="77777777" w:rsidR="00DD68D4" w:rsidRDefault="0004174E">
      <w:r>
        <w:rPr>
          <w:rFonts w:hint="eastAsia"/>
        </w:rPr>
        <w:t>4.1 ポートフォリオのボラティリティ推定</w:t>
      </w:r>
    </w:p>
    <w:p w14:paraId="3DF690DF" w14:textId="77777777" w:rsidR="0062180A" w:rsidRDefault="00366B6F" w:rsidP="00DD68D4">
      <w:pPr>
        <w:ind w:firstLineChars="100" w:firstLine="210"/>
      </w:pPr>
      <w:r>
        <w:rPr>
          <w:rFonts w:hint="eastAsia"/>
        </w:rPr>
        <w:t>自信過剰な企業からなる</w:t>
      </w:r>
      <w:r w:rsidR="00DB1DC6">
        <w:rPr>
          <w:rFonts w:hint="eastAsia"/>
        </w:rPr>
        <w:t>ポートフォリオのボラティリティについてGARCH</w:t>
      </w:r>
      <w:r w:rsidR="0004174E">
        <w:rPr>
          <w:rFonts w:hint="eastAsia"/>
        </w:rPr>
        <w:t>(</w:t>
      </w:r>
      <w:proofErr w:type="spellStart"/>
      <w:r w:rsidR="00DD68D4">
        <w:rPr>
          <w:rFonts w:hint="eastAsia"/>
        </w:rPr>
        <w:t>p</w:t>
      </w:r>
      <w:r w:rsidR="0004174E">
        <w:rPr>
          <w:rFonts w:hint="eastAsia"/>
        </w:rPr>
        <w:t>,</w:t>
      </w:r>
      <w:r w:rsidR="00DD68D4">
        <w:rPr>
          <w:rFonts w:hint="eastAsia"/>
        </w:rPr>
        <w:t>q</w:t>
      </w:r>
      <w:proofErr w:type="spellEnd"/>
      <w:r w:rsidR="0004174E">
        <w:rPr>
          <w:rFonts w:hint="eastAsia"/>
        </w:rPr>
        <w:t>)を用いて</w:t>
      </w:r>
      <w:r w:rsidR="00DB1DC6">
        <w:rPr>
          <w:rFonts w:hint="eastAsia"/>
        </w:rPr>
        <w:t>推定を行った</w:t>
      </w:r>
      <w:r w:rsidR="00DD68D4">
        <w:rPr>
          <w:rFonts w:hint="eastAsia"/>
        </w:rPr>
        <w:t>。パラメータ数はAIC基準が最小になるようにしたところp=1,q=1が選ばれた。GARCH(1,1)によって推定された</w:t>
      </w:r>
      <w:r w:rsidR="00DB1DC6">
        <w:rPr>
          <w:rFonts w:hint="eastAsia"/>
        </w:rPr>
        <w:t>結果は</w:t>
      </w:r>
      <w:r w:rsidR="00FB72C3">
        <w:rPr>
          <w:rFonts w:hint="eastAsia"/>
        </w:rPr>
        <w:t>表6</w:t>
      </w:r>
      <w:r w:rsidR="00DB1DC6">
        <w:rPr>
          <w:rFonts w:hint="eastAsia"/>
        </w:rPr>
        <w:t>のとおりである。</w:t>
      </w:r>
      <w:r w:rsidR="00FB72C3">
        <w:rPr>
          <w:rFonts w:hint="eastAsia"/>
        </w:rPr>
        <w:t>また推定されたGARCH(1,1)から得られたボラティリティの時系列プロットしたものが図8で、ボラティリティの基本統計量とまとめたものが表7である。</w:t>
      </w:r>
    </w:p>
    <w:p w14:paraId="37209A65" w14:textId="77777777" w:rsidR="00993A46" w:rsidRDefault="00993A46"/>
    <w:p w14:paraId="78CFF74B" w14:textId="77777777" w:rsidR="0004174E" w:rsidRPr="0004174E" w:rsidRDefault="0004174E" w:rsidP="0004174E">
      <w:pPr>
        <w:jc w:val="center"/>
      </w:pPr>
      <w:r>
        <w:rPr>
          <w:rFonts w:hint="eastAsia"/>
        </w:rPr>
        <w:t>表</w:t>
      </w:r>
      <w:r w:rsidR="00FB72C3">
        <w:rPr>
          <w:rFonts w:hint="eastAsia"/>
        </w:rPr>
        <w:t>6</w:t>
      </w:r>
      <w:r>
        <w:rPr>
          <w:rFonts w:hint="eastAsia"/>
        </w:rPr>
        <w:t xml:space="preserve">　GARCH(1,1)の推定量</w:t>
      </w:r>
    </w:p>
    <w:tbl>
      <w:tblPr>
        <w:tblStyle w:val="a5"/>
        <w:tblW w:w="0" w:type="auto"/>
        <w:tblLook w:val="04A0" w:firstRow="1" w:lastRow="0" w:firstColumn="1" w:lastColumn="0" w:noHBand="0" w:noVBand="1"/>
      </w:tblPr>
      <w:tblGrid>
        <w:gridCol w:w="2123"/>
        <w:gridCol w:w="2123"/>
        <w:gridCol w:w="2124"/>
        <w:gridCol w:w="2124"/>
      </w:tblGrid>
      <w:tr w:rsidR="00993A46" w14:paraId="2B808D2B" w14:textId="77777777" w:rsidTr="00993A46">
        <w:tc>
          <w:tcPr>
            <w:tcW w:w="2123" w:type="dxa"/>
          </w:tcPr>
          <w:p w14:paraId="5D4EF9F2" w14:textId="77777777" w:rsidR="00993A46" w:rsidRDefault="00993A46"/>
        </w:tc>
        <w:tc>
          <w:tcPr>
            <w:tcW w:w="2123" w:type="dxa"/>
          </w:tcPr>
          <w:p w14:paraId="39D7A2F0" w14:textId="77777777" w:rsidR="00993A46" w:rsidRDefault="00993A46">
            <w:r>
              <w:rPr>
                <w:rFonts w:hint="eastAsia"/>
              </w:rPr>
              <w:t>omega</w:t>
            </w:r>
          </w:p>
        </w:tc>
        <w:tc>
          <w:tcPr>
            <w:tcW w:w="2124" w:type="dxa"/>
          </w:tcPr>
          <w:p w14:paraId="2092ABDA" w14:textId="77777777" w:rsidR="00993A46" w:rsidRDefault="00993A46">
            <w:r>
              <w:rPr>
                <w:rFonts w:hint="eastAsia"/>
              </w:rPr>
              <w:t>beta</w:t>
            </w:r>
          </w:p>
        </w:tc>
        <w:tc>
          <w:tcPr>
            <w:tcW w:w="2124" w:type="dxa"/>
          </w:tcPr>
          <w:p w14:paraId="35D79BCB" w14:textId="77777777" w:rsidR="00993A46" w:rsidRDefault="00993A46">
            <w:r>
              <w:rPr>
                <w:rFonts w:hint="eastAsia"/>
              </w:rPr>
              <w:t>alpha</w:t>
            </w:r>
          </w:p>
        </w:tc>
      </w:tr>
      <w:tr w:rsidR="00993A46" w14:paraId="01789FEB" w14:textId="77777777" w:rsidTr="00993A46">
        <w:tc>
          <w:tcPr>
            <w:tcW w:w="2123" w:type="dxa"/>
          </w:tcPr>
          <w:p w14:paraId="7DB47CF7" w14:textId="77777777" w:rsidR="00993A46" w:rsidRDefault="00993A46">
            <w:r>
              <w:rPr>
                <w:rFonts w:hint="eastAsia"/>
              </w:rPr>
              <w:t>推定量</w:t>
            </w:r>
          </w:p>
        </w:tc>
        <w:tc>
          <w:tcPr>
            <w:tcW w:w="2123" w:type="dxa"/>
          </w:tcPr>
          <w:p w14:paraId="102B017A" w14:textId="77777777" w:rsidR="00993A46" w:rsidRDefault="00993A46">
            <w:r>
              <w:rPr>
                <w:rFonts w:hint="eastAsia"/>
              </w:rPr>
              <w:t>0.1332</w:t>
            </w:r>
          </w:p>
        </w:tc>
        <w:tc>
          <w:tcPr>
            <w:tcW w:w="2124" w:type="dxa"/>
          </w:tcPr>
          <w:p w14:paraId="5CE44E9B" w14:textId="77777777" w:rsidR="00993A46" w:rsidRDefault="00993A46">
            <w:r>
              <w:rPr>
                <w:rFonts w:hint="eastAsia"/>
              </w:rPr>
              <w:t>0.8355</w:t>
            </w:r>
          </w:p>
        </w:tc>
        <w:tc>
          <w:tcPr>
            <w:tcW w:w="2124" w:type="dxa"/>
          </w:tcPr>
          <w:p w14:paraId="3DA86D5F" w14:textId="77777777" w:rsidR="00993A46" w:rsidRDefault="00993A46">
            <w:r>
              <w:rPr>
                <w:rFonts w:hint="eastAsia"/>
              </w:rPr>
              <w:t>0.0898</w:t>
            </w:r>
          </w:p>
        </w:tc>
      </w:tr>
      <w:tr w:rsidR="00993A46" w14:paraId="40F87AC0" w14:textId="77777777" w:rsidTr="00993A46">
        <w:tc>
          <w:tcPr>
            <w:tcW w:w="2123" w:type="dxa"/>
          </w:tcPr>
          <w:p w14:paraId="0B9BBC03" w14:textId="77777777" w:rsidR="00993A46" w:rsidRDefault="00993A46">
            <w:r>
              <w:rPr>
                <w:rFonts w:hint="eastAsia"/>
              </w:rPr>
              <w:t>標準誤差</w:t>
            </w:r>
          </w:p>
        </w:tc>
        <w:tc>
          <w:tcPr>
            <w:tcW w:w="2123" w:type="dxa"/>
          </w:tcPr>
          <w:p w14:paraId="7088770F" w14:textId="77777777" w:rsidR="00993A46" w:rsidRDefault="00993A46">
            <w:r>
              <w:rPr>
                <w:rFonts w:hint="eastAsia"/>
              </w:rPr>
              <w:t>0.0507</w:t>
            </w:r>
          </w:p>
        </w:tc>
        <w:tc>
          <w:tcPr>
            <w:tcW w:w="2124" w:type="dxa"/>
          </w:tcPr>
          <w:p w14:paraId="3E4C7A17" w14:textId="77777777" w:rsidR="00993A46" w:rsidRDefault="00993A46">
            <w:r>
              <w:rPr>
                <w:rFonts w:hint="eastAsia"/>
              </w:rPr>
              <w:t>0.0438</w:t>
            </w:r>
          </w:p>
        </w:tc>
        <w:tc>
          <w:tcPr>
            <w:tcW w:w="2124" w:type="dxa"/>
          </w:tcPr>
          <w:p w14:paraId="16F49B5A" w14:textId="77777777" w:rsidR="00993A46" w:rsidRDefault="00993A46">
            <w:r>
              <w:rPr>
                <w:rFonts w:hint="eastAsia"/>
              </w:rPr>
              <w:t>0.0214</w:t>
            </w:r>
          </w:p>
        </w:tc>
      </w:tr>
    </w:tbl>
    <w:p w14:paraId="1789F44A" w14:textId="77777777" w:rsidR="0004174E" w:rsidRDefault="0004174E" w:rsidP="00FB72C3"/>
    <w:p w14:paraId="226D7AE0" w14:textId="77777777" w:rsidR="00DB1DC6" w:rsidRDefault="00993A46" w:rsidP="00993A46">
      <w:pPr>
        <w:jc w:val="center"/>
      </w:pPr>
      <w:r>
        <w:rPr>
          <w:rFonts w:hint="eastAsia"/>
          <w:noProof/>
        </w:rPr>
        <w:drawing>
          <wp:inline distT="0" distB="0" distL="0" distR="0" wp14:anchorId="0E056019" wp14:editId="7F445913">
            <wp:extent cx="3888188" cy="2849775"/>
            <wp:effectExtent l="0" t="0" r="0" b="8255"/>
            <wp:docPr id="13157782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7824" name="図 131577824"/>
                    <pic:cNvPicPr/>
                  </pic:nvPicPr>
                  <pic:blipFill>
                    <a:blip r:embed="rId15">
                      <a:extLst>
                        <a:ext uri="{28A0092B-C50C-407E-A947-70E740481C1C}">
                          <a14:useLocalDpi xmlns:a14="http://schemas.microsoft.com/office/drawing/2010/main" val="0"/>
                        </a:ext>
                      </a:extLst>
                    </a:blip>
                    <a:stretch>
                      <a:fillRect/>
                    </a:stretch>
                  </pic:blipFill>
                  <pic:spPr>
                    <a:xfrm>
                      <a:off x="0" y="0"/>
                      <a:ext cx="3898490" cy="2857325"/>
                    </a:xfrm>
                    <a:prstGeom prst="rect">
                      <a:avLst/>
                    </a:prstGeom>
                  </pic:spPr>
                </pic:pic>
              </a:graphicData>
            </a:graphic>
          </wp:inline>
        </w:drawing>
      </w:r>
    </w:p>
    <w:p w14:paraId="5D0F9B7F" w14:textId="77777777" w:rsidR="00DB1DC6" w:rsidRDefault="0004174E" w:rsidP="0004174E">
      <w:pPr>
        <w:jc w:val="center"/>
      </w:pPr>
      <w:r>
        <w:rPr>
          <w:rFonts w:hint="eastAsia"/>
        </w:rPr>
        <w:t>図7 GARCH(1,1)における</w:t>
      </w:r>
      <w:r w:rsidR="00B15021">
        <w:rPr>
          <w:rFonts w:hint="eastAsia"/>
        </w:rPr>
        <w:t>ポートフォリオの</w:t>
      </w:r>
      <w:r>
        <w:rPr>
          <w:rFonts w:hint="eastAsia"/>
        </w:rPr>
        <w:t>ボラティリティの推定量</w:t>
      </w:r>
    </w:p>
    <w:p w14:paraId="3ACD32D9" w14:textId="77777777" w:rsidR="00FB72C3" w:rsidRDefault="00FB72C3" w:rsidP="0004174E">
      <w:pPr>
        <w:jc w:val="center"/>
      </w:pPr>
    </w:p>
    <w:p w14:paraId="6D249542" w14:textId="77777777" w:rsidR="00FB72C3" w:rsidRDefault="00FB72C3" w:rsidP="00FB72C3">
      <w:pPr>
        <w:jc w:val="center"/>
      </w:pPr>
      <w:r>
        <w:rPr>
          <w:rFonts w:hint="eastAsia"/>
        </w:rPr>
        <w:t xml:space="preserve">表7　</w:t>
      </w:r>
      <w:r w:rsidR="00B15021">
        <w:rPr>
          <w:rFonts w:hint="eastAsia"/>
        </w:rPr>
        <w:t>ポートフォリオの推定された</w:t>
      </w:r>
      <w:r>
        <w:rPr>
          <w:rFonts w:hint="eastAsia"/>
        </w:rPr>
        <w:t>ボラティリティの基本統計量</w:t>
      </w:r>
    </w:p>
    <w:tbl>
      <w:tblPr>
        <w:tblStyle w:val="a5"/>
        <w:tblW w:w="0" w:type="auto"/>
        <w:jc w:val="center"/>
        <w:tblLook w:val="04A0" w:firstRow="1" w:lastRow="0" w:firstColumn="1" w:lastColumn="0" w:noHBand="0" w:noVBand="1"/>
      </w:tblPr>
      <w:tblGrid>
        <w:gridCol w:w="1110"/>
        <w:gridCol w:w="1110"/>
        <w:gridCol w:w="1118"/>
        <w:gridCol w:w="1252"/>
        <w:gridCol w:w="1302"/>
      </w:tblGrid>
      <w:tr w:rsidR="00FB72C3" w14:paraId="67ABE9BA" w14:textId="77777777" w:rsidTr="00E93D02">
        <w:trPr>
          <w:jc w:val="center"/>
        </w:trPr>
        <w:tc>
          <w:tcPr>
            <w:tcW w:w="1110" w:type="dxa"/>
          </w:tcPr>
          <w:p w14:paraId="2F7EEA6E" w14:textId="77777777" w:rsidR="00FB72C3" w:rsidRDefault="00FB72C3" w:rsidP="00E93D02">
            <w:pPr>
              <w:jc w:val="center"/>
            </w:pPr>
            <w:r>
              <w:rPr>
                <w:rFonts w:hint="eastAsia"/>
              </w:rPr>
              <w:t>平均</w:t>
            </w:r>
          </w:p>
        </w:tc>
        <w:tc>
          <w:tcPr>
            <w:tcW w:w="1110" w:type="dxa"/>
          </w:tcPr>
          <w:p w14:paraId="32F455B4" w14:textId="77777777" w:rsidR="00FB72C3" w:rsidRDefault="00FB72C3" w:rsidP="00E93D02">
            <w:pPr>
              <w:jc w:val="center"/>
            </w:pPr>
            <w:r>
              <w:rPr>
                <w:rFonts w:hint="eastAsia"/>
              </w:rPr>
              <w:t>標準</w:t>
            </w:r>
            <w:r w:rsidR="00967F10">
              <w:rPr>
                <w:rFonts w:hint="eastAsia"/>
              </w:rPr>
              <w:t>誤差</w:t>
            </w:r>
          </w:p>
        </w:tc>
        <w:tc>
          <w:tcPr>
            <w:tcW w:w="1118" w:type="dxa"/>
          </w:tcPr>
          <w:p w14:paraId="6288A8C4" w14:textId="77777777" w:rsidR="00FB72C3" w:rsidRDefault="00FB72C3" w:rsidP="00E93D02">
            <w:pPr>
              <w:jc w:val="center"/>
            </w:pPr>
            <w:r>
              <w:rPr>
                <w:rFonts w:hint="eastAsia"/>
              </w:rPr>
              <w:t>標準</w:t>
            </w:r>
            <w:r w:rsidR="00967F10">
              <w:rPr>
                <w:rFonts w:hint="eastAsia"/>
              </w:rPr>
              <w:t>偏差</w:t>
            </w:r>
          </w:p>
        </w:tc>
        <w:tc>
          <w:tcPr>
            <w:tcW w:w="1252" w:type="dxa"/>
          </w:tcPr>
          <w:p w14:paraId="2FBF40E5" w14:textId="77777777" w:rsidR="00FB72C3" w:rsidRDefault="00FB72C3" w:rsidP="00E93D02">
            <w:pPr>
              <w:jc w:val="center"/>
            </w:pPr>
            <w:r>
              <w:rPr>
                <w:rFonts w:hint="eastAsia"/>
              </w:rPr>
              <w:t>最大値</w:t>
            </w:r>
          </w:p>
        </w:tc>
        <w:tc>
          <w:tcPr>
            <w:tcW w:w="1302" w:type="dxa"/>
          </w:tcPr>
          <w:p w14:paraId="572954ED" w14:textId="77777777" w:rsidR="00FB72C3" w:rsidRDefault="00FB72C3" w:rsidP="00E93D02">
            <w:pPr>
              <w:jc w:val="center"/>
            </w:pPr>
            <w:r>
              <w:rPr>
                <w:rFonts w:hint="eastAsia"/>
              </w:rPr>
              <w:t>最小値</w:t>
            </w:r>
          </w:p>
        </w:tc>
      </w:tr>
      <w:tr w:rsidR="00FB72C3" w14:paraId="1550089F" w14:textId="77777777" w:rsidTr="00E93D02">
        <w:trPr>
          <w:jc w:val="center"/>
        </w:trPr>
        <w:tc>
          <w:tcPr>
            <w:tcW w:w="1110" w:type="dxa"/>
          </w:tcPr>
          <w:p w14:paraId="49327869" w14:textId="77777777" w:rsidR="00FB72C3" w:rsidRDefault="00FB72C3" w:rsidP="00E93D02">
            <w:pPr>
              <w:jc w:val="center"/>
            </w:pPr>
            <w:r>
              <w:rPr>
                <w:rFonts w:hint="eastAsia"/>
              </w:rPr>
              <w:t>1.329</w:t>
            </w:r>
          </w:p>
        </w:tc>
        <w:tc>
          <w:tcPr>
            <w:tcW w:w="1110" w:type="dxa"/>
          </w:tcPr>
          <w:p w14:paraId="304226F1" w14:textId="77777777" w:rsidR="00FB72C3" w:rsidRDefault="00FB72C3" w:rsidP="00E93D02">
            <w:pPr>
              <w:jc w:val="center"/>
            </w:pPr>
            <w:r>
              <w:rPr>
                <w:rFonts w:hint="eastAsia"/>
              </w:rPr>
              <w:t>0.010</w:t>
            </w:r>
          </w:p>
        </w:tc>
        <w:tc>
          <w:tcPr>
            <w:tcW w:w="1118" w:type="dxa"/>
          </w:tcPr>
          <w:p w14:paraId="74DCBA5F" w14:textId="77777777" w:rsidR="00FB72C3" w:rsidRDefault="00FB72C3" w:rsidP="00E93D02">
            <w:pPr>
              <w:jc w:val="center"/>
            </w:pPr>
            <w:r>
              <w:rPr>
                <w:rFonts w:hint="eastAsia"/>
              </w:rPr>
              <w:t>0.313</w:t>
            </w:r>
          </w:p>
        </w:tc>
        <w:tc>
          <w:tcPr>
            <w:tcW w:w="1252" w:type="dxa"/>
          </w:tcPr>
          <w:p w14:paraId="52E6D203" w14:textId="77777777" w:rsidR="00FB72C3" w:rsidRDefault="00FB72C3" w:rsidP="00E93D02">
            <w:pPr>
              <w:jc w:val="center"/>
            </w:pPr>
            <w:r>
              <w:rPr>
                <w:rFonts w:hint="eastAsia"/>
              </w:rPr>
              <w:t>3.582</w:t>
            </w:r>
          </w:p>
        </w:tc>
        <w:tc>
          <w:tcPr>
            <w:tcW w:w="1302" w:type="dxa"/>
          </w:tcPr>
          <w:p w14:paraId="7C138E89" w14:textId="77777777" w:rsidR="00FB72C3" w:rsidRDefault="00FB72C3" w:rsidP="00E93D02">
            <w:pPr>
              <w:jc w:val="center"/>
            </w:pPr>
            <w:r>
              <w:rPr>
                <w:rFonts w:hint="eastAsia"/>
              </w:rPr>
              <w:t>0.985</w:t>
            </w:r>
          </w:p>
        </w:tc>
      </w:tr>
      <w:tr w:rsidR="00FB72C3" w14:paraId="1415B175" w14:textId="77777777" w:rsidTr="00E93D02">
        <w:trPr>
          <w:jc w:val="center"/>
        </w:trPr>
        <w:tc>
          <w:tcPr>
            <w:tcW w:w="1110" w:type="dxa"/>
          </w:tcPr>
          <w:p w14:paraId="3A677023" w14:textId="77777777" w:rsidR="00FB72C3" w:rsidRDefault="00FB72C3" w:rsidP="00E93D02">
            <w:pPr>
              <w:jc w:val="center"/>
            </w:pPr>
            <w:r>
              <w:rPr>
                <w:rFonts w:hint="eastAsia"/>
              </w:rPr>
              <w:t>歪度</w:t>
            </w:r>
          </w:p>
        </w:tc>
        <w:tc>
          <w:tcPr>
            <w:tcW w:w="1110" w:type="dxa"/>
          </w:tcPr>
          <w:p w14:paraId="2D45C748" w14:textId="77777777" w:rsidR="00FB72C3" w:rsidRDefault="00FB72C3" w:rsidP="00E93D02">
            <w:pPr>
              <w:jc w:val="center"/>
            </w:pPr>
            <w:r>
              <w:rPr>
                <w:rFonts w:hint="eastAsia"/>
              </w:rPr>
              <w:t>歪度の</w:t>
            </w:r>
          </w:p>
          <w:p w14:paraId="68FAE374" w14:textId="77777777" w:rsidR="00FB72C3" w:rsidRDefault="00FB72C3" w:rsidP="00E93D02">
            <w:pPr>
              <w:jc w:val="center"/>
            </w:pPr>
            <w:r>
              <w:rPr>
                <w:rFonts w:hint="eastAsia"/>
              </w:rPr>
              <w:t>標準誤差</w:t>
            </w:r>
          </w:p>
        </w:tc>
        <w:tc>
          <w:tcPr>
            <w:tcW w:w="1118" w:type="dxa"/>
          </w:tcPr>
          <w:p w14:paraId="7BF4D239" w14:textId="77777777" w:rsidR="00FB72C3" w:rsidRDefault="00FB72C3" w:rsidP="00E93D02">
            <w:pPr>
              <w:jc w:val="center"/>
            </w:pPr>
            <w:r>
              <w:rPr>
                <w:rFonts w:hint="eastAsia"/>
              </w:rPr>
              <w:t>尖度</w:t>
            </w:r>
          </w:p>
        </w:tc>
        <w:tc>
          <w:tcPr>
            <w:tcW w:w="1252" w:type="dxa"/>
          </w:tcPr>
          <w:p w14:paraId="7A31C2EC" w14:textId="77777777" w:rsidR="00FB72C3" w:rsidRDefault="00FB72C3" w:rsidP="00E93D02">
            <w:pPr>
              <w:jc w:val="center"/>
            </w:pPr>
            <w:r>
              <w:rPr>
                <w:rFonts w:hint="eastAsia"/>
              </w:rPr>
              <w:t>尖度の</w:t>
            </w:r>
          </w:p>
          <w:p w14:paraId="620FDF6E" w14:textId="77777777" w:rsidR="00FB72C3" w:rsidRDefault="00FB72C3" w:rsidP="00E93D02">
            <w:pPr>
              <w:jc w:val="center"/>
            </w:pPr>
            <w:r>
              <w:rPr>
                <w:rFonts w:hint="eastAsia"/>
              </w:rPr>
              <w:t>標準誤差</w:t>
            </w:r>
          </w:p>
        </w:tc>
        <w:tc>
          <w:tcPr>
            <w:tcW w:w="1302" w:type="dxa"/>
          </w:tcPr>
          <w:p w14:paraId="15FB5701" w14:textId="77777777" w:rsidR="00FB72C3" w:rsidRDefault="00FB72C3" w:rsidP="00E93D02">
            <w:pPr>
              <w:jc w:val="center"/>
            </w:pPr>
            <w:proofErr w:type="spellStart"/>
            <w:r>
              <w:rPr>
                <w:rFonts w:hint="eastAsia"/>
              </w:rPr>
              <w:t>JargueBera</w:t>
            </w:r>
            <w:proofErr w:type="spellEnd"/>
          </w:p>
          <w:p w14:paraId="6645853F" w14:textId="77777777" w:rsidR="00FB72C3" w:rsidRDefault="00FB72C3" w:rsidP="00E93D02">
            <w:pPr>
              <w:jc w:val="center"/>
            </w:pPr>
            <w:r>
              <w:rPr>
                <w:rFonts w:hint="eastAsia"/>
              </w:rPr>
              <w:t>統計量</w:t>
            </w:r>
          </w:p>
        </w:tc>
      </w:tr>
      <w:tr w:rsidR="00FB72C3" w14:paraId="3D9CEA26" w14:textId="77777777" w:rsidTr="00E93D02">
        <w:trPr>
          <w:jc w:val="center"/>
        </w:trPr>
        <w:tc>
          <w:tcPr>
            <w:tcW w:w="1110" w:type="dxa"/>
          </w:tcPr>
          <w:p w14:paraId="1F459ABD" w14:textId="77777777" w:rsidR="00FB72C3" w:rsidRDefault="00FB72C3" w:rsidP="00E93D02">
            <w:pPr>
              <w:jc w:val="center"/>
            </w:pPr>
            <w:r>
              <w:rPr>
                <w:rFonts w:hint="eastAsia"/>
              </w:rPr>
              <w:t>3.282</w:t>
            </w:r>
          </w:p>
        </w:tc>
        <w:tc>
          <w:tcPr>
            <w:tcW w:w="1110" w:type="dxa"/>
          </w:tcPr>
          <w:p w14:paraId="4C4E1834" w14:textId="77777777" w:rsidR="00FB72C3" w:rsidRDefault="00FB72C3" w:rsidP="00E93D02">
            <w:pPr>
              <w:jc w:val="center"/>
            </w:pPr>
            <w:r>
              <w:rPr>
                <w:rFonts w:hint="eastAsia"/>
              </w:rPr>
              <w:t>0.075</w:t>
            </w:r>
          </w:p>
        </w:tc>
        <w:tc>
          <w:tcPr>
            <w:tcW w:w="1118" w:type="dxa"/>
          </w:tcPr>
          <w:p w14:paraId="6B037108" w14:textId="77777777" w:rsidR="00FB72C3" w:rsidRDefault="00FB72C3" w:rsidP="00E93D02">
            <w:pPr>
              <w:jc w:val="center"/>
            </w:pPr>
            <w:r>
              <w:rPr>
                <w:rFonts w:hint="eastAsia"/>
              </w:rPr>
              <w:t>17.643</w:t>
            </w:r>
          </w:p>
        </w:tc>
        <w:tc>
          <w:tcPr>
            <w:tcW w:w="1252" w:type="dxa"/>
          </w:tcPr>
          <w:p w14:paraId="7E14408E" w14:textId="77777777" w:rsidR="00FB72C3" w:rsidRDefault="00FB72C3" w:rsidP="00E93D02">
            <w:pPr>
              <w:jc w:val="center"/>
            </w:pPr>
            <w:r>
              <w:rPr>
                <w:rFonts w:hint="eastAsia"/>
              </w:rPr>
              <w:t>0.151</w:t>
            </w:r>
          </w:p>
        </w:tc>
        <w:tc>
          <w:tcPr>
            <w:tcW w:w="1302" w:type="dxa"/>
          </w:tcPr>
          <w:p w14:paraId="69FD8324" w14:textId="77777777" w:rsidR="00FB72C3" w:rsidRDefault="00FB72C3" w:rsidP="00E93D02">
            <w:pPr>
              <w:jc w:val="center"/>
            </w:pPr>
            <w:r>
              <w:rPr>
                <w:rFonts w:hint="eastAsia"/>
              </w:rPr>
              <w:t>11319.692</w:t>
            </w:r>
          </w:p>
        </w:tc>
      </w:tr>
    </w:tbl>
    <w:p w14:paraId="47CF8720" w14:textId="77777777" w:rsidR="0004174E" w:rsidRDefault="0004174E"/>
    <w:p w14:paraId="7F7FAFDC" w14:textId="77777777" w:rsidR="00E741D1" w:rsidRDefault="00E741D1" w:rsidP="00DD68D4">
      <w:pPr>
        <w:ind w:firstLineChars="100" w:firstLine="210"/>
      </w:pPr>
      <w:r>
        <w:rPr>
          <w:rFonts w:hint="eastAsia"/>
        </w:rPr>
        <w:lastRenderedPageBreak/>
        <w:t>モデル内の</w:t>
      </w:r>
      <w:r w:rsidR="00DD68D4">
        <w:rPr>
          <w:rFonts w:hint="eastAsia"/>
        </w:rPr>
        <w:t>誤差項に自己相関があるか確かめるため</w:t>
      </w:r>
      <w:r>
        <w:rPr>
          <w:rFonts w:hint="eastAsia"/>
        </w:rPr>
        <w:t>Ljung-box検定</w:t>
      </w:r>
      <w:r w:rsidR="00DD68D4">
        <w:rPr>
          <w:rFonts w:hint="eastAsia"/>
        </w:rPr>
        <w:t>を行う。計算の結果、</w:t>
      </w:r>
      <w:r>
        <w:rPr>
          <w:rFonts w:hint="eastAsia"/>
        </w:rPr>
        <w:t>統計量</w:t>
      </w:r>
      <w:r w:rsidR="00DD68D4">
        <w:rPr>
          <w:rFonts w:hint="eastAsia"/>
        </w:rPr>
        <w:t>は</w:t>
      </w:r>
      <w:r>
        <w:rPr>
          <w:rFonts w:hint="eastAsia"/>
        </w:rPr>
        <w:t>13.771</w:t>
      </w:r>
      <w:r w:rsidR="00DD68D4">
        <w:rPr>
          <w:rFonts w:hint="eastAsia"/>
        </w:rPr>
        <w:t>となり、</w:t>
      </w:r>
      <w:r>
        <w:rPr>
          <w:rFonts w:hint="eastAsia"/>
        </w:rPr>
        <w:t>有意水準10％の臨界値は15.987</w:t>
      </w:r>
      <w:r w:rsidR="00DD68D4">
        <w:rPr>
          <w:rFonts w:hint="eastAsia"/>
        </w:rPr>
        <w:t>であることから</w:t>
      </w:r>
      <w:r>
        <w:rPr>
          <w:rFonts w:hint="eastAsia"/>
        </w:rPr>
        <w:t>モデルの誤差項に自己相関がないという帰無仮説が受容され</w:t>
      </w:r>
      <w:r w:rsidR="00DD68D4">
        <w:rPr>
          <w:rFonts w:hint="eastAsia"/>
        </w:rPr>
        <w:t>るという結果になった。</w:t>
      </w:r>
    </w:p>
    <w:p w14:paraId="608A97EF" w14:textId="77777777" w:rsidR="00FB72C3" w:rsidRDefault="00FB72C3" w:rsidP="00DD68D4">
      <w:pPr>
        <w:ind w:firstLineChars="100" w:firstLine="210"/>
      </w:pPr>
      <w:r>
        <w:rPr>
          <w:rFonts w:hint="eastAsia"/>
        </w:rPr>
        <w:t>GARCH(1,1)から得られた結果から考察をしていく。まず</w:t>
      </w:r>
      <w:r w:rsidR="00366B6F">
        <w:rPr>
          <w:rFonts w:hint="eastAsia"/>
        </w:rPr>
        <w:t>時系列プロットを見ると</w:t>
      </w:r>
      <w:r>
        <w:rPr>
          <w:rFonts w:hint="eastAsia"/>
        </w:rPr>
        <w:t>2020年のコロナウイルスによるパンデミックが起きた際や、2022年のロシアウクライナ戦争が勃発したときなどにボラティリティが高くなっていることが分かる。</w:t>
      </w:r>
      <w:r w:rsidR="00F92BEB">
        <w:rPr>
          <w:rFonts w:hint="eastAsia"/>
        </w:rPr>
        <w:t>それ以外の時期は平均近辺で振動していること分かる。</w:t>
      </w:r>
      <w:r w:rsidR="00366B6F">
        <w:rPr>
          <w:rFonts w:hint="eastAsia"/>
        </w:rPr>
        <w:t>次にパラメータの推定値を見るとすべてのパラメータが正に有意であることが分かる。</w:t>
      </w:r>
      <w:r w:rsidR="00F516F0">
        <w:rPr>
          <w:rFonts w:hint="eastAsia"/>
        </w:rPr>
        <w:t>また</w:t>
      </w:r>
      <m:oMath>
        <m:r>
          <w:rPr>
            <w:rFonts w:ascii="Cambria Math" w:hAnsi="Cambria Math" w:hint="eastAsia"/>
          </w:rPr>
          <m:t>α</m:t>
        </m:r>
        <m:r>
          <w:rPr>
            <w:rFonts w:ascii="Cambria Math" w:hAnsi="Cambria Math"/>
          </w:rPr>
          <m:t>,</m:t>
        </m:r>
        <m:r>
          <w:rPr>
            <w:rFonts w:ascii="Cambria Math" w:hAnsi="Cambria Math" w:hint="eastAsia"/>
          </w:rPr>
          <m:t>β</m:t>
        </m:r>
      </m:oMath>
      <w:r w:rsidR="00F516F0">
        <w:rPr>
          <w:rFonts w:hint="eastAsia"/>
        </w:rPr>
        <w:t>の値はともに大きく、</w:t>
      </w:r>
      <m:oMath>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hint="eastAsia"/>
          </w:rPr>
          <m:t>≈</m:t>
        </m:r>
        <m:r>
          <w:rPr>
            <w:rFonts w:ascii="Cambria Math" w:hAnsi="Cambria Math"/>
          </w:rPr>
          <m:t>1</m:t>
        </m:r>
      </m:oMath>
      <w:r w:rsidR="00F516F0">
        <w:rPr>
          <w:rFonts w:hint="eastAsia"/>
        </w:rPr>
        <w:t>となっていることからボラティリティの持続性が高くなっているということが読み取れる。</w:t>
      </w:r>
    </w:p>
    <w:p w14:paraId="3FF3A655" w14:textId="77777777" w:rsidR="00E741D1" w:rsidRPr="00E741D1" w:rsidRDefault="00E741D1"/>
    <w:p w14:paraId="0140E40C" w14:textId="77777777" w:rsidR="0004174E" w:rsidRDefault="0004174E"/>
    <w:p w14:paraId="317959AE" w14:textId="77777777" w:rsidR="00DB1DC6" w:rsidRDefault="00DB1DC6">
      <w:r>
        <w:rPr>
          <w:rFonts w:hint="eastAsia"/>
        </w:rPr>
        <w:t>4.</w:t>
      </w:r>
      <w:r w:rsidR="0004174E">
        <w:rPr>
          <w:rFonts w:hint="eastAsia"/>
        </w:rPr>
        <w:t>2 日経225</w:t>
      </w:r>
      <w:r>
        <w:rPr>
          <w:rFonts w:hint="eastAsia"/>
        </w:rPr>
        <w:t>との比較</w:t>
      </w:r>
    </w:p>
    <w:p w14:paraId="17724055" w14:textId="77777777" w:rsidR="004D47B3" w:rsidRDefault="004D47B3">
      <w:r>
        <w:rPr>
          <w:rFonts w:hint="eastAsia"/>
        </w:rPr>
        <w:t xml:space="preserve">　</w:t>
      </w:r>
      <w:r w:rsidR="00F516F0">
        <w:rPr>
          <w:rFonts w:hint="eastAsia"/>
        </w:rPr>
        <w:t>自信過剰な企業からなる</w:t>
      </w:r>
      <w:r>
        <w:rPr>
          <w:rFonts w:hint="eastAsia"/>
        </w:rPr>
        <w:t>ポートフォリオの相対的なリスクを知るために日経225のリスクと比較していく。</w:t>
      </w:r>
      <w:r w:rsidR="00F959CE">
        <w:rPr>
          <w:rFonts w:hint="eastAsia"/>
        </w:rPr>
        <w:t>同じGARCH(1,1)モデルによって推定された日経225のボラティリティを</w:t>
      </w:r>
      <w:r w:rsidR="00F92BEB">
        <w:rPr>
          <w:rFonts w:hint="eastAsia"/>
        </w:rPr>
        <w:t>図8</w:t>
      </w:r>
      <w:r w:rsidR="00F959CE">
        <w:rPr>
          <w:rFonts w:hint="eastAsia"/>
        </w:rPr>
        <w:t>にプロットした。図を見ると</w:t>
      </w:r>
      <w:r w:rsidR="00F92BEB">
        <w:rPr>
          <w:rFonts w:hint="eastAsia"/>
        </w:rPr>
        <w:t>全体的な傾向として</w:t>
      </w:r>
      <w:r w:rsidR="00F959CE">
        <w:rPr>
          <w:rFonts w:hint="eastAsia"/>
        </w:rPr>
        <w:t>若干ポートフォリオのボラティリティがNK225のそれよりも上回っているように見える。図</w:t>
      </w:r>
      <w:r w:rsidR="00F92BEB">
        <w:rPr>
          <w:rFonts w:hint="eastAsia"/>
        </w:rPr>
        <w:t>9</w:t>
      </w:r>
      <w:r w:rsidR="005B0E7A">
        <w:rPr>
          <w:rFonts w:hint="eastAsia"/>
        </w:rPr>
        <w:t>は2つのボラティリティの各時点の大小関係を視覚的にわかりやすく示したものであり、</w:t>
      </w:r>
      <w:r w:rsidR="00F959CE">
        <w:rPr>
          <w:rFonts w:hint="eastAsia"/>
        </w:rPr>
        <w:t>すべての時点においてポートフォリオ</w:t>
      </w:r>
      <w:r w:rsidR="00D95D0B">
        <w:rPr>
          <w:rFonts w:hint="eastAsia"/>
        </w:rPr>
        <w:t>のボラティリティ</w:t>
      </w:r>
      <w:r w:rsidR="00F959CE">
        <w:rPr>
          <w:rFonts w:hint="eastAsia"/>
        </w:rPr>
        <w:t>と</w:t>
      </w:r>
      <w:r w:rsidR="0004174E">
        <w:rPr>
          <w:rFonts w:hint="eastAsia"/>
        </w:rPr>
        <w:t>日経</w:t>
      </w:r>
      <w:r w:rsidR="00F959CE">
        <w:rPr>
          <w:rFonts w:hint="eastAsia"/>
        </w:rPr>
        <w:t>225の</w:t>
      </w:r>
      <w:r w:rsidR="00D95D0B">
        <w:rPr>
          <w:rFonts w:hint="eastAsia"/>
        </w:rPr>
        <w:t>ボラティリティ</w:t>
      </w:r>
      <w:r w:rsidR="00F959CE">
        <w:rPr>
          <w:rFonts w:hint="eastAsia"/>
        </w:rPr>
        <w:t>差を取り、それをカーネル密度関数として表示した</w:t>
      </w:r>
      <w:r w:rsidR="005B0E7A">
        <w:rPr>
          <w:rFonts w:hint="eastAsia"/>
        </w:rPr>
        <w:t>ものである</w:t>
      </w:r>
      <w:r w:rsidR="00F959CE">
        <w:rPr>
          <w:rFonts w:hint="eastAsia"/>
        </w:rPr>
        <w:t>。これを見ると、ポートフォリオのボラティリティが</w:t>
      </w:r>
      <w:r w:rsidR="0004174E">
        <w:rPr>
          <w:rFonts w:hint="eastAsia"/>
        </w:rPr>
        <w:t>日経</w:t>
      </w:r>
      <w:r w:rsidR="00F959CE">
        <w:rPr>
          <w:rFonts w:hint="eastAsia"/>
        </w:rPr>
        <w:t>225のそれよりも上回っていることが分かる。</w:t>
      </w:r>
      <w:r w:rsidR="00967F10">
        <w:rPr>
          <w:rFonts w:hint="eastAsia"/>
        </w:rPr>
        <w:t>これは表8の推定されたボラティリティの基本統計量からも同様のことが読み取れ、平均的に自信過剰な企業からなるポートフォリオのボラティリティは日経225のボラティリティよりも高いということが分かった。</w:t>
      </w:r>
    </w:p>
    <w:p w14:paraId="151AACE0" w14:textId="77777777" w:rsidR="00F959CE" w:rsidRDefault="00F959CE">
      <w:r>
        <w:rPr>
          <w:rFonts w:hint="eastAsia"/>
        </w:rPr>
        <w:t xml:space="preserve">　以上の分析から</w:t>
      </w:r>
      <w:r w:rsidR="00F92BEB">
        <w:rPr>
          <w:rFonts w:hint="eastAsia"/>
        </w:rPr>
        <w:t>全体的な傾向として、</w:t>
      </w:r>
      <w:r>
        <w:rPr>
          <w:rFonts w:hint="eastAsia"/>
        </w:rPr>
        <w:t>自信過剰な企業からなるポートフォリオは株価指数よりもリスクが高いことが明らかになった。</w:t>
      </w:r>
    </w:p>
    <w:p w14:paraId="3B66BABF" w14:textId="77777777" w:rsidR="00DB1DC6" w:rsidRDefault="00DB1DC6" w:rsidP="00F959CE">
      <w:pPr>
        <w:jc w:val="center"/>
      </w:pPr>
      <w:r>
        <w:rPr>
          <w:rFonts w:hint="eastAsia"/>
          <w:noProof/>
        </w:rPr>
        <w:lastRenderedPageBreak/>
        <w:drawing>
          <wp:inline distT="0" distB="0" distL="0" distR="0" wp14:anchorId="7C1A1E5E" wp14:editId="110BEEB8">
            <wp:extent cx="4628878" cy="3278038"/>
            <wp:effectExtent l="0" t="0" r="0" b="0"/>
            <wp:docPr id="110622823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28232" name="図 1106228232"/>
                    <pic:cNvPicPr/>
                  </pic:nvPicPr>
                  <pic:blipFill>
                    <a:blip r:embed="rId16">
                      <a:extLst>
                        <a:ext uri="{28A0092B-C50C-407E-A947-70E740481C1C}">
                          <a14:useLocalDpi xmlns:a14="http://schemas.microsoft.com/office/drawing/2010/main" val="0"/>
                        </a:ext>
                      </a:extLst>
                    </a:blip>
                    <a:stretch>
                      <a:fillRect/>
                    </a:stretch>
                  </pic:blipFill>
                  <pic:spPr>
                    <a:xfrm>
                      <a:off x="0" y="0"/>
                      <a:ext cx="4631648" cy="3280000"/>
                    </a:xfrm>
                    <a:prstGeom prst="rect">
                      <a:avLst/>
                    </a:prstGeom>
                  </pic:spPr>
                </pic:pic>
              </a:graphicData>
            </a:graphic>
          </wp:inline>
        </w:drawing>
      </w:r>
    </w:p>
    <w:p w14:paraId="6F16F768" w14:textId="77777777" w:rsidR="00B15021" w:rsidRDefault="00B15021" w:rsidP="00F959CE">
      <w:pPr>
        <w:jc w:val="center"/>
      </w:pPr>
    </w:p>
    <w:p w14:paraId="5F1E33FC" w14:textId="77777777" w:rsidR="0004174E" w:rsidRDefault="0004174E" w:rsidP="00F959CE">
      <w:pPr>
        <w:jc w:val="center"/>
      </w:pPr>
      <w:r>
        <w:rPr>
          <w:rFonts w:hint="eastAsia"/>
        </w:rPr>
        <w:t>図8 日経225とポートフォリオのボラティリティの比較</w:t>
      </w:r>
    </w:p>
    <w:p w14:paraId="24BD3745" w14:textId="77777777" w:rsidR="00967F10" w:rsidRDefault="00967F10" w:rsidP="00F959CE">
      <w:pPr>
        <w:jc w:val="center"/>
      </w:pPr>
    </w:p>
    <w:p w14:paraId="09FE1B0D" w14:textId="77777777" w:rsidR="00DB1DC6" w:rsidRDefault="004D47B3" w:rsidP="0004174E">
      <w:pPr>
        <w:jc w:val="center"/>
      </w:pPr>
      <w:r>
        <w:rPr>
          <w:noProof/>
        </w:rPr>
        <w:drawing>
          <wp:inline distT="0" distB="0" distL="0" distR="0" wp14:anchorId="11D1B1FC" wp14:editId="34A5B94F">
            <wp:extent cx="4425696" cy="3156243"/>
            <wp:effectExtent l="0" t="0" r="0" b="6350"/>
            <wp:docPr id="217163723"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63723" name="図 217163723"/>
                    <pic:cNvPicPr/>
                  </pic:nvPicPr>
                  <pic:blipFill>
                    <a:blip r:embed="rId17">
                      <a:extLst>
                        <a:ext uri="{28A0092B-C50C-407E-A947-70E740481C1C}">
                          <a14:useLocalDpi xmlns:a14="http://schemas.microsoft.com/office/drawing/2010/main" val="0"/>
                        </a:ext>
                      </a:extLst>
                    </a:blip>
                    <a:stretch>
                      <a:fillRect/>
                    </a:stretch>
                  </pic:blipFill>
                  <pic:spPr>
                    <a:xfrm>
                      <a:off x="0" y="0"/>
                      <a:ext cx="4429130" cy="3158692"/>
                    </a:xfrm>
                    <a:prstGeom prst="rect">
                      <a:avLst/>
                    </a:prstGeom>
                  </pic:spPr>
                </pic:pic>
              </a:graphicData>
            </a:graphic>
          </wp:inline>
        </w:drawing>
      </w:r>
    </w:p>
    <w:p w14:paraId="7460720C" w14:textId="77777777" w:rsidR="0004174E" w:rsidRDefault="0004174E" w:rsidP="0004174E">
      <w:pPr>
        <w:jc w:val="center"/>
      </w:pPr>
      <w:r>
        <w:rPr>
          <w:rFonts w:hint="eastAsia"/>
        </w:rPr>
        <w:t>図9 日経225とポートフォリオのボラティリティの差の分布</w:t>
      </w:r>
    </w:p>
    <w:p w14:paraId="33043CA2" w14:textId="77777777" w:rsidR="0004174E" w:rsidRDefault="0004174E"/>
    <w:p w14:paraId="4496D982" w14:textId="77777777" w:rsidR="00967F10" w:rsidRDefault="00967F10"/>
    <w:p w14:paraId="6A233514" w14:textId="77777777" w:rsidR="00967F10" w:rsidRDefault="00967F10"/>
    <w:p w14:paraId="63B82CD6" w14:textId="77777777" w:rsidR="00B15021" w:rsidRDefault="00B15021" w:rsidP="00B15021">
      <w:pPr>
        <w:jc w:val="center"/>
      </w:pPr>
      <w:r>
        <w:rPr>
          <w:rFonts w:hint="eastAsia"/>
        </w:rPr>
        <w:lastRenderedPageBreak/>
        <w:t>表8　日経225の推定されたボラティリティの基本統計量</w:t>
      </w:r>
    </w:p>
    <w:tbl>
      <w:tblPr>
        <w:tblStyle w:val="a5"/>
        <w:tblW w:w="0" w:type="auto"/>
        <w:jc w:val="center"/>
        <w:tblLook w:val="04A0" w:firstRow="1" w:lastRow="0" w:firstColumn="1" w:lastColumn="0" w:noHBand="0" w:noVBand="1"/>
      </w:tblPr>
      <w:tblGrid>
        <w:gridCol w:w="1110"/>
        <w:gridCol w:w="1110"/>
        <w:gridCol w:w="1118"/>
        <w:gridCol w:w="1252"/>
        <w:gridCol w:w="1302"/>
      </w:tblGrid>
      <w:tr w:rsidR="00B15021" w14:paraId="444E2B7F" w14:textId="77777777" w:rsidTr="00CB5E63">
        <w:trPr>
          <w:jc w:val="center"/>
        </w:trPr>
        <w:tc>
          <w:tcPr>
            <w:tcW w:w="1110" w:type="dxa"/>
          </w:tcPr>
          <w:p w14:paraId="2B9CEF27" w14:textId="77777777" w:rsidR="00B15021" w:rsidRDefault="00B15021" w:rsidP="00CB5E63">
            <w:pPr>
              <w:jc w:val="center"/>
            </w:pPr>
            <w:r>
              <w:rPr>
                <w:rFonts w:hint="eastAsia"/>
              </w:rPr>
              <w:t>平均</w:t>
            </w:r>
          </w:p>
        </w:tc>
        <w:tc>
          <w:tcPr>
            <w:tcW w:w="1110" w:type="dxa"/>
          </w:tcPr>
          <w:p w14:paraId="3E8F63BD" w14:textId="77777777" w:rsidR="00B15021" w:rsidRDefault="00B15021" w:rsidP="00CB5E63">
            <w:pPr>
              <w:jc w:val="center"/>
            </w:pPr>
            <w:r>
              <w:rPr>
                <w:rFonts w:hint="eastAsia"/>
              </w:rPr>
              <w:t>標準</w:t>
            </w:r>
            <w:r w:rsidR="00967F10">
              <w:rPr>
                <w:rFonts w:hint="eastAsia"/>
              </w:rPr>
              <w:t>誤差</w:t>
            </w:r>
          </w:p>
        </w:tc>
        <w:tc>
          <w:tcPr>
            <w:tcW w:w="1118" w:type="dxa"/>
          </w:tcPr>
          <w:p w14:paraId="1DF228D2" w14:textId="77777777" w:rsidR="00B15021" w:rsidRDefault="00B15021" w:rsidP="00CB5E63">
            <w:pPr>
              <w:jc w:val="center"/>
            </w:pPr>
            <w:r>
              <w:rPr>
                <w:rFonts w:hint="eastAsia"/>
              </w:rPr>
              <w:t>標準</w:t>
            </w:r>
            <w:r w:rsidR="00967F10">
              <w:rPr>
                <w:rFonts w:hint="eastAsia"/>
              </w:rPr>
              <w:t>偏差</w:t>
            </w:r>
          </w:p>
        </w:tc>
        <w:tc>
          <w:tcPr>
            <w:tcW w:w="1252" w:type="dxa"/>
          </w:tcPr>
          <w:p w14:paraId="6E14CDFD" w14:textId="77777777" w:rsidR="00B15021" w:rsidRDefault="00B15021" w:rsidP="00CB5E63">
            <w:pPr>
              <w:jc w:val="center"/>
            </w:pPr>
            <w:r>
              <w:rPr>
                <w:rFonts w:hint="eastAsia"/>
              </w:rPr>
              <w:t>最大値</w:t>
            </w:r>
          </w:p>
        </w:tc>
        <w:tc>
          <w:tcPr>
            <w:tcW w:w="1302" w:type="dxa"/>
          </w:tcPr>
          <w:p w14:paraId="2F2F4A9D" w14:textId="77777777" w:rsidR="00B15021" w:rsidRDefault="00B15021" w:rsidP="00CB5E63">
            <w:pPr>
              <w:jc w:val="center"/>
            </w:pPr>
            <w:r>
              <w:rPr>
                <w:rFonts w:hint="eastAsia"/>
              </w:rPr>
              <w:t>最小値</w:t>
            </w:r>
          </w:p>
        </w:tc>
      </w:tr>
      <w:tr w:rsidR="00B15021" w14:paraId="2AE35FEE" w14:textId="77777777" w:rsidTr="00CB5E63">
        <w:trPr>
          <w:jc w:val="center"/>
        </w:trPr>
        <w:tc>
          <w:tcPr>
            <w:tcW w:w="1110" w:type="dxa"/>
          </w:tcPr>
          <w:p w14:paraId="05E78566" w14:textId="77777777" w:rsidR="00B15021" w:rsidRDefault="00B15021" w:rsidP="00CB5E63">
            <w:pPr>
              <w:jc w:val="center"/>
            </w:pPr>
            <w:r>
              <w:rPr>
                <w:rFonts w:hint="eastAsia"/>
              </w:rPr>
              <w:t>1.229</w:t>
            </w:r>
          </w:p>
        </w:tc>
        <w:tc>
          <w:tcPr>
            <w:tcW w:w="1110" w:type="dxa"/>
          </w:tcPr>
          <w:p w14:paraId="1DF560DD" w14:textId="77777777" w:rsidR="00B15021" w:rsidRDefault="00B15021" w:rsidP="00CB5E63">
            <w:pPr>
              <w:jc w:val="center"/>
            </w:pPr>
            <w:r>
              <w:rPr>
                <w:rFonts w:hint="eastAsia"/>
              </w:rPr>
              <w:t>0.009</w:t>
            </w:r>
          </w:p>
        </w:tc>
        <w:tc>
          <w:tcPr>
            <w:tcW w:w="1118" w:type="dxa"/>
          </w:tcPr>
          <w:p w14:paraId="6991CAB6" w14:textId="77777777" w:rsidR="00B15021" w:rsidRDefault="00B15021" w:rsidP="00CB5E63">
            <w:pPr>
              <w:jc w:val="center"/>
            </w:pPr>
            <w:r>
              <w:rPr>
                <w:rFonts w:hint="eastAsia"/>
              </w:rPr>
              <w:t>0.298</w:t>
            </w:r>
          </w:p>
        </w:tc>
        <w:tc>
          <w:tcPr>
            <w:tcW w:w="1252" w:type="dxa"/>
          </w:tcPr>
          <w:p w14:paraId="191A8C73" w14:textId="77777777" w:rsidR="00B15021" w:rsidRDefault="00B15021" w:rsidP="00CB5E63">
            <w:pPr>
              <w:jc w:val="center"/>
            </w:pPr>
            <w:r>
              <w:rPr>
                <w:rFonts w:hint="eastAsia"/>
              </w:rPr>
              <w:t>3.</w:t>
            </w:r>
            <w:r w:rsidR="00967F10">
              <w:rPr>
                <w:rFonts w:hint="eastAsia"/>
              </w:rPr>
              <w:t>733</w:t>
            </w:r>
          </w:p>
        </w:tc>
        <w:tc>
          <w:tcPr>
            <w:tcW w:w="1302" w:type="dxa"/>
          </w:tcPr>
          <w:p w14:paraId="2A8AD392" w14:textId="77777777" w:rsidR="00B15021" w:rsidRDefault="00B15021" w:rsidP="00CB5E63">
            <w:pPr>
              <w:jc w:val="center"/>
            </w:pPr>
            <w:r>
              <w:rPr>
                <w:rFonts w:hint="eastAsia"/>
              </w:rPr>
              <w:t>0.</w:t>
            </w:r>
            <w:r w:rsidR="00967F10">
              <w:rPr>
                <w:rFonts w:hint="eastAsia"/>
              </w:rPr>
              <w:t>876</w:t>
            </w:r>
          </w:p>
        </w:tc>
      </w:tr>
      <w:tr w:rsidR="00B15021" w14:paraId="2E6FB356" w14:textId="77777777" w:rsidTr="00CB5E63">
        <w:trPr>
          <w:jc w:val="center"/>
        </w:trPr>
        <w:tc>
          <w:tcPr>
            <w:tcW w:w="1110" w:type="dxa"/>
          </w:tcPr>
          <w:p w14:paraId="6FE409C5" w14:textId="77777777" w:rsidR="00B15021" w:rsidRDefault="00B15021" w:rsidP="00CB5E63">
            <w:pPr>
              <w:jc w:val="center"/>
            </w:pPr>
            <w:r>
              <w:rPr>
                <w:rFonts w:hint="eastAsia"/>
              </w:rPr>
              <w:t>歪度</w:t>
            </w:r>
          </w:p>
        </w:tc>
        <w:tc>
          <w:tcPr>
            <w:tcW w:w="1110" w:type="dxa"/>
          </w:tcPr>
          <w:p w14:paraId="1A57C261" w14:textId="77777777" w:rsidR="00B15021" w:rsidRDefault="00B15021" w:rsidP="00CB5E63">
            <w:pPr>
              <w:jc w:val="center"/>
            </w:pPr>
            <w:r>
              <w:rPr>
                <w:rFonts w:hint="eastAsia"/>
              </w:rPr>
              <w:t>歪度の</w:t>
            </w:r>
          </w:p>
          <w:p w14:paraId="33C8C7CC" w14:textId="77777777" w:rsidR="00B15021" w:rsidRDefault="00B15021" w:rsidP="00CB5E63">
            <w:pPr>
              <w:jc w:val="center"/>
            </w:pPr>
            <w:r>
              <w:rPr>
                <w:rFonts w:hint="eastAsia"/>
              </w:rPr>
              <w:t>標準誤差</w:t>
            </w:r>
          </w:p>
        </w:tc>
        <w:tc>
          <w:tcPr>
            <w:tcW w:w="1118" w:type="dxa"/>
          </w:tcPr>
          <w:p w14:paraId="38A5BEAB" w14:textId="77777777" w:rsidR="00B15021" w:rsidRDefault="00B15021" w:rsidP="00CB5E63">
            <w:pPr>
              <w:jc w:val="center"/>
            </w:pPr>
            <w:r>
              <w:rPr>
                <w:rFonts w:hint="eastAsia"/>
              </w:rPr>
              <w:t>尖度</w:t>
            </w:r>
          </w:p>
        </w:tc>
        <w:tc>
          <w:tcPr>
            <w:tcW w:w="1252" w:type="dxa"/>
          </w:tcPr>
          <w:p w14:paraId="49906CA1" w14:textId="77777777" w:rsidR="00B15021" w:rsidRDefault="00B15021" w:rsidP="00CB5E63">
            <w:pPr>
              <w:jc w:val="center"/>
            </w:pPr>
            <w:r>
              <w:rPr>
                <w:rFonts w:hint="eastAsia"/>
              </w:rPr>
              <w:t>尖度の</w:t>
            </w:r>
          </w:p>
          <w:p w14:paraId="44A43368" w14:textId="77777777" w:rsidR="00B15021" w:rsidRDefault="00B15021" w:rsidP="00CB5E63">
            <w:pPr>
              <w:jc w:val="center"/>
            </w:pPr>
            <w:r>
              <w:rPr>
                <w:rFonts w:hint="eastAsia"/>
              </w:rPr>
              <w:t>標準誤差</w:t>
            </w:r>
          </w:p>
        </w:tc>
        <w:tc>
          <w:tcPr>
            <w:tcW w:w="1302" w:type="dxa"/>
          </w:tcPr>
          <w:p w14:paraId="6A54EB3B" w14:textId="77777777" w:rsidR="00B15021" w:rsidRDefault="00B15021" w:rsidP="00CB5E63">
            <w:pPr>
              <w:jc w:val="center"/>
            </w:pPr>
            <w:proofErr w:type="spellStart"/>
            <w:r>
              <w:rPr>
                <w:rFonts w:hint="eastAsia"/>
              </w:rPr>
              <w:t>JargueBera</w:t>
            </w:r>
            <w:proofErr w:type="spellEnd"/>
          </w:p>
          <w:p w14:paraId="56D11717" w14:textId="77777777" w:rsidR="00B15021" w:rsidRDefault="00B15021" w:rsidP="00CB5E63">
            <w:pPr>
              <w:jc w:val="center"/>
            </w:pPr>
            <w:r>
              <w:rPr>
                <w:rFonts w:hint="eastAsia"/>
              </w:rPr>
              <w:t>統計量</w:t>
            </w:r>
          </w:p>
        </w:tc>
      </w:tr>
      <w:tr w:rsidR="00B15021" w14:paraId="04AE9528" w14:textId="77777777" w:rsidTr="00CB5E63">
        <w:trPr>
          <w:jc w:val="center"/>
        </w:trPr>
        <w:tc>
          <w:tcPr>
            <w:tcW w:w="1110" w:type="dxa"/>
          </w:tcPr>
          <w:p w14:paraId="0E3FA5E3" w14:textId="77777777" w:rsidR="00B15021" w:rsidRDefault="00B15021" w:rsidP="00CB5E63">
            <w:pPr>
              <w:jc w:val="center"/>
            </w:pPr>
            <w:r>
              <w:rPr>
                <w:rFonts w:hint="eastAsia"/>
              </w:rPr>
              <w:t>3.</w:t>
            </w:r>
            <w:r w:rsidR="00967F10">
              <w:rPr>
                <w:rFonts w:hint="eastAsia"/>
              </w:rPr>
              <w:t>733</w:t>
            </w:r>
          </w:p>
        </w:tc>
        <w:tc>
          <w:tcPr>
            <w:tcW w:w="1110" w:type="dxa"/>
          </w:tcPr>
          <w:p w14:paraId="3ACBBF6B" w14:textId="77777777" w:rsidR="00B15021" w:rsidRDefault="00B15021" w:rsidP="00CB5E63">
            <w:pPr>
              <w:jc w:val="center"/>
            </w:pPr>
            <w:r>
              <w:rPr>
                <w:rFonts w:hint="eastAsia"/>
              </w:rPr>
              <w:t>0.</w:t>
            </w:r>
            <w:r w:rsidR="00967F10">
              <w:rPr>
                <w:rFonts w:hint="eastAsia"/>
              </w:rPr>
              <w:t>075</w:t>
            </w:r>
          </w:p>
        </w:tc>
        <w:tc>
          <w:tcPr>
            <w:tcW w:w="1118" w:type="dxa"/>
          </w:tcPr>
          <w:p w14:paraId="357B506D" w14:textId="77777777" w:rsidR="00B15021" w:rsidRDefault="00967F10" w:rsidP="00CB5E63">
            <w:pPr>
              <w:jc w:val="center"/>
            </w:pPr>
            <w:r>
              <w:rPr>
                <w:rFonts w:hint="eastAsia"/>
              </w:rPr>
              <w:t>22.860</w:t>
            </w:r>
          </w:p>
        </w:tc>
        <w:tc>
          <w:tcPr>
            <w:tcW w:w="1252" w:type="dxa"/>
          </w:tcPr>
          <w:p w14:paraId="56C9364B" w14:textId="77777777" w:rsidR="00B15021" w:rsidRDefault="00B15021" w:rsidP="00CB5E63">
            <w:pPr>
              <w:jc w:val="center"/>
            </w:pPr>
            <w:r>
              <w:rPr>
                <w:rFonts w:hint="eastAsia"/>
              </w:rPr>
              <w:t>0.151</w:t>
            </w:r>
          </w:p>
        </w:tc>
        <w:tc>
          <w:tcPr>
            <w:tcW w:w="1302" w:type="dxa"/>
          </w:tcPr>
          <w:p w14:paraId="0034CD24" w14:textId="77777777" w:rsidR="00B15021" w:rsidRDefault="00B15021" w:rsidP="00CB5E63">
            <w:pPr>
              <w:jc w:val="center"/>
            </w:pPr>
            <w:r>
              <w:rPr>
                <w:rFonts w:hint="eastAsia"/>
              </w:rPr>
              <w:t>1</w:t>
            </w:r>
            <w:r w:rsidR="00967F10">
              <w:rPr>
                <w:rFonts w:hint="eastAsia"/>
              </w:rPr>
              <w:t>9787</w:t>
            </w:r>
            <w:r>
              <w:rPr>
                <w:rFonts w:hint="eastAsia"/>
              </w:rPr>
              <w:t>.</w:t>
            </w:r>
            <w:r w:rsidR="00967F10">
              <w:rPr>
                <w:rFonts w:hint="eastAsia"/>
              </w:rPr>
              <w:t>3</w:t>
            </w:r>
            <w:r>
              <w:rPr>
                <w:rFonts w:hint="eastAsia"/>
              </w:rPr>
              <w:t>69</w:t>
            </w:r>
          </w:p>
        </w:tc>
      </w:tr>
    </w:tbl>
    <w:p w14:paraId="389CC00D" w14:textId="77777777" w:rsidR="00F92BEB" w:rsidRDefault="00F92BEB"/>
    <w:p w14:paraId="7080947D" w14:textId="77777777" w:rsidR="00967F10" w:rsidRPr="0004174E" w:rsidRDefault="00967F10"/>
    <w:p w14:paraId="0FCD6A56" w14:textId="77777777" w:rsidR="00DB1DC6" w:rsidRDefault="00DB1DC6">
      <w:r>
        <w:rPr>
          <w:rFonts w:hint="eastAsia"/>
        </w:rPr>
        <w:t>4.</w:t>
      </w:r>
      <w:r w:rsidR="0004174E">
        <w:rPr>
          <w:rFonts w:hint="eastAsia"/>
        </w:rPr>
        <w:t>3</w:t>
      </w:r>
      <w:r>
        <w:rPr>
          <w:rFonts w:hint="eastAsia"/>
        </w:rPr>
        <w:t xml:space="preserve">　ランダムポートフォリオ</w:t>
      </w:r>
      <w:r w:rsidR="0004174E">
        <w:rPr>
          <w:rFonts w:hint="eastAsia"/>
        </w:rPr>
        <w:t>との比較</w:t>
      </w:r>
    </w:p>
    <w:p w14:paraId="56752082" w14:textId="77777777" w:rsidR="00F516F0" w:rsidRDefault="00F516F0"/>
    <w:p w14:paraId="666D0F10" w14:textId="77777777" w:rsidR="00D95D0B" w:rsidRPr="005B0E7A" w:rsidRDefault="00894DA6">
      <w:r>
        <w:rPr>
          <w:rFonts w:hint="eastAsia"/>
        </w:rPr>
        <w:t xml:space="preserve">　日経225よりも</w:t>
      </w:r>
      <w:r w:rsidR="004F1A36">
        <w:rPr>
          <w:rFonts w:hint="eastAsia"/>
        </w:rPr>
        <w:t>自信過剰な企業からなるポートフォリオの方が若干ではあるがリスクが高い傾向にあることがわかった。しかしながら、</w:t>
      </w:r>
      <w:r w:rsidR="00F959CE">
        <w:rPr>
          <w:rFonts w:hint="eastAsia"/>
        </w:rPr>
        <w:t>日経225とポートフォリオでは企業数が異なっており、そのことからポートフォリオのリスクが高まってしまった可能性が考えられる。そこでここでは4000近くの</w:t>
      </w:r>
      <w:r w:rsidR="005B0E7A">
        <w:rPr>
          <w:rFonts w:hint="eastAsia"/>
        </w:rPr>
        <w:t>株式</w:t>
      </w:r>
      <w:r w:rsidR="00F959CE">
        <w:rPr>
          <w:rFonts w:hint="eastAsia"/>
        </w:rPr>
        <w:t>銘柄からランダムにポートフォリオ構成銘柄数と同じ数だけ抽出し、そこから最適ポートフォリオ理論に基づきランダムポートフォリオを構成した。</w:t>
      </w:r>
      <w:r w:rsidR="00D95D0B">
        <w:rPr>
          <w:rFonts w:hint="eastAsia"/>
        </w:rPr>
        <w:t>データは同じくYahoo!ファイナンスより取得した。</w:t>
      </w:r>
      <w:r w:rsidR="00F959CE">
        <w:rPr>
          <w:rFonts w:hint="eastAsia"/>
        </w:rPr>
        <w:t>そのランダムポートフォリオを同じくGARCH(1,1)モデルに当てはめ、ボラティリティの推定を行った。以下の図</w:t>
      </w:r>
      <w:r w:rsidR="005B0E7A">
        <w:rPr>
          <w:rFonts w:hint="eastAsia"/>
        </w:rPr>
        <w:t>10</w:t>
      </w:r>
      <w:r w:rsidR="00F959CE">
        <w:rPr>
          <w:rFonts w:hint="eastAsia"/>
        </w:rPr>
        <w:t>がランダムポートフォリオとポートフォリオのそれぞれのボラティリティをプロットしたもので</w:t>
      </w:r>
      <w:r w:rsidR="00D95D0B">
        <w:rPr>
          <w:rFonts w:hint="eastAsia"/>
        </w:rPr>
        <w:t>、図11がすべての時点において自信過剰な企業からなるポートフォリオのボラティリティとランダムなポートフォリオのボラティリティの差を取り、それをカーネル密度関数として表示したものである。</w:t>
      </w:r>
      <w:r w:rsidR="005B0E7A">
        <w:rPr>
          <w:rFonts w:hint="eastAsia"/>
        </w:rPr>
        <w:t>図</w:t>
      </w:r>
      <w:r w:rsidR="00D95D0B">
        <w:rPr>
          <w:rFonts w:hint="eastAsia"/>
        </w:rPr>
        <w:t>10,11</w:t>
      </w:r>
      <w:r w:rsidR="005B0E7A">
        <w:rPr>
          <w:rFonts w:hint="eastAsia"/>
        </w:rPr>
        <w:t>を見ると、全体的には自信過剰な企業からなるポートフォリオがランダムポートフォリオよりもリスクが高いことが見て取れる</w:t>
      </w:r>
      <w:r w:rsidR="00D95D0B">
        <w:rPr>
          <w:rFonts w:hint="eastAsia"/>
        </w:rPr>
        <w:t>だろう。このことからも、自信過剰な企業からなるポートフォリオのボラティリティが相対的に高いということが見て取れる。</w:t>
      </w:r>
      <w:r w:rsidR="007E0343">
        <w:rPr>
          <w:rFonts w:hint="eastAsia"/>
        </w:rPr>
        <w:t>また表9,10にはランダムポートフォリオの推定されたリターンとリスクの基本統計量を載せた。表9,10からも自信過剰な企業からなるポートフォリオはランダムポートフォリオと比較してリターンとボラティリティが高いことが分かった。</w:t>
      </w:r>
    </w:p>
    <w:p w14:paraId="00E7D1FA" w14:textId="77777777" w:rsidR="00DB1DC6" w:rsidRDefault="00DB1DC6" w:rsidP="005B0E7A">
      <w:pPr>
        <w:jc w:val="center"/>
      </w:pPr>
      <w:r>
        <w:rPr>
          <w:rFonts w:hint="eastAsia"/>
          <w:noProof/>
        </w:rPr>
        <w:lastRenderedPageBreak/>
        <w:drawing>
          <wp:inline distT="0" distB="0" distL="0" distR="0" wp14:anchorId="54C2DE58" wp14:editId="52D8BD38">
            <wp:extent cx="4896533" cy="3467584"/>
            <wp:effectExtent l="0" t="0" r="0" b="0"/>
            <wp:docPr id="130901869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8692" name="図 1309018692"/>
                    <pic:cNvPicPr/>
                  </pic:nvPicPr>
                  <pic:blipFill>
                    <a:blip r:embed="rId18">
                      <a:extLst>
                        <a:ext uri="{28A0092B-C50C-407E-A947-70E740481C1C}">
                          <a14:useLocalDpi xmlns:a14="http://schemas.microsoft.com/office/drawing/2010/main" val="0"/>
                        </a:ext>
                      </a:extLst>
                    </a:blip>
                    <a:stretch>
                      <a:fillRect/>
                    </a:stretch>
                  </pic:blipFill>
                  <pic:spPr>
                    <a:xfrm>
                      <a:off x="0" y="0"/>
                      <a:ext cx="4896533" cy="3467584"/>
                    </a:xfrm>
                    <a:prstGeom prst="rect">
                      <a:avLst/>
                    </a:prstGeom>
                  </pic:spPr>
                </pic:pic>
              </a:graphicData>
            </a:graphic>
          </wp:inline>
        </w:drawing>
      </w:r>
    </w:p>
    <w:p w14:paraId="586F0C48" w14:textId="77777777" w:rsidR="005B0E7A" w:rsidRDefault="005B0E7A" w:rsidP="005B0E7A">
      <w:pPr>
        <w:jc w:val="center"/>
      </w:pPr>
      <w:r>
        <w:rPr>
          <w:rFonts w:hint="eastAsia"/>
        </w:rPr>
        <w:t xml:space="preserve">　図8 日経225とポートフォリオのボラティリティの比較</w:t>
      </w:r>
    </w:p>
    <w:p w14:paraId="3737034B" w14:textId="77777777" w:rsidR="005B0E7A" w:rsidRPr="005B0E7A" w:rsidRDefault="005B0E7A"/>
    <w:p w14:paraId="54863115" w14:textId="77777777" w:rsidR="00DB1DC6" w:rsidRDefault="00D95D0B" w:rsidP="00D95D0B">
      <w:pPr>
        <w:jc w:val="center"/>
      </w:pPr>
      <w:r>
        <w:rPr>
          <w:noProof/>
        </w:rPr>
        <w:drawing>
          <wp:inline distT="0" distB="0" distL="0" distR="0" wp14:anchorId="5FDFF2B8" wp14:editId="2D6F73D5">
            <wp:extent cx="4848902" cy="3458058"/>
            <wp:effectExtent l="0" t="0" r="8890" b="9525"/>
            <wp:docPr id="45361442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14428" name="図 453614428"/>
                    <pic:cNvPicPr/>
                  </pic:nvPicPr>
                  <pic:blipFill>
                    <a:blip r:embed="rId19">
                      <a:extLst>
                        <a:ext uri="{28A0092B-C50C-407E-A947-70E740481C1C}">
                          <a14:useLocalDpi xmlns:a14="http://schemas.microsoft.com/office/drawing/2010/main" val="0"/>
                        </a:ext>
                      </a:extLst>
                    </a:blip>
                    <a:stretch>
                      <a:fillRect/>
                    </a:stretch>
                  </pic:blipFill>
                  <pic:spPr>
                    <a:xfrm>
                      <a:off x="0" y="0"/>
                      <a:ext cx="4848902" cy="3458058"/>
                    </a:xfrm>
                    <a:prstGeom prst="rect">
                      <a:avLst/>
                    </a:prstGeom>
                  </pic:spPr>
                </pic:pic>
              </a:graphicData>
            </a:graphic>
          </wp:inline>
        </w:drawing>
      </w:r>
    </w:p>
    <w:p w14:paraId="3B15CE7E" w14:textId="77777777" w:rsidR="007E0343" w:rsidRDefault="000F781F" w:rsidP="007E0343">
      <w:pPr>
        <w:jc w:val="center"/>
      </w:pPr>
      <w:r>
        <w:tab/>
      </w:r>
      <w:r w:rsidR="00D95D0B">
        <w:rPr>
          <w:rFonts w:hint="eastAsia"/>
        </w:rPr>
        <w:t>図9 日経225とポートフォリオのボラティリティの差の分布</w:t>
      </w:r>
      <w:r>
        <w:br/>
      </w:r>
    </w:p>
    <w:p w14:paraId="4E9F85C6" w14:textId="77777777" w:rsidR="007E0343" w:rsidRDefault="007E0343" w:rsidP="007E0343">
      <w:pPr>
        <w:jc w:val="center"/>
      </w:pPr>
      <w:r>
        <w:rPr>
          <w:rFonts w:hint="eastAsia"/>
        </w:rPr>
        <w:lastRenderedPageBreak/>
        <w:t>表9　ランダムポートフォリオのリターンに関する基本統計量</w:t>
      </w:r>
    </w:p>
    <w:tbl>
      <w:tblPr>
        <w:tblStyle w:val="a5"/>
        <w:tblW w:w="0" w:type="auto"/>
        <w:jc w:val="center"/>
        <w:tblLook w:val="04A0" w:firstRow="1" w:lastRow="0" w:firstColumn="1" w:lastColumn="0" w:noHBand="0" w:noVBand="1"/>
      </w:tblPr>
      <w:tblGrid>
        <w:gridCol w:w="1110"/>
        <w:gridCol w:w="1110"/>
        <w:gridCol w:w="1118"/>
        <w:gridCol w:w="1252"/>
        <w:gridCol w:w="1302"/>
      </w:tblGrid>
      <w:tr w:rsidR="007E0343" w14:paraId="4B7A382C" w14:textId="77777777" w:rsidTr="00CB5E63">
        <w:trPr>
          <w:jc w:val="center"/>
        </w:trPr>
        <w:tc>
          <w:tcPr>
            <w:tcW w:w="1110" w:type="dxa"/>
          </w:tcPr>
          <w:p w14:paraId="58DBDA24" w14:textId="77777777" w:rsidR="007E0343" w:rsidRDefault="007E0343" w:rsidP="00CB5E63">
            <w:pPr>
              <w:jc w:val="center"/>
            </w:pPr>
            <w:r>
              <w:rPr>
                <w:rFonts w:hint="eastAsia"/>
              </w:rPr>
              <w:t>平均</w:t>
            </w:r>
          </w:p>
        </w:tc>
        <w:tc>
          <w:tcPr>
            <w:tcW w:w="1110" w:type="dxa"/>
          </w:tcPr>
          <w:p w14:paraId="054C6F6C" w14:textId="77777777" w:rsidR="007E0343" w:rsidRDefault="007E0343" w:rsidP="00CB5E63">
            <w:pPr>
              <w:jc w:val="center"/>
            </w:pPr>
            <w:r>
              <w:rPr>
                <w:rFonts w:hint="eastAsia"/>
              </w:rPr>
              <w:t>標準偏差</w:t>
            </w:r>
          </w:p>
        </w:tc>
        <w:tc>
          <w:tcPr>
            <w:tcW w:w="1118" w:type="dxa"/>
          </w:tcPr>
          <w:p w14:paraId="605B3BA1" w14:textId="77777777" w:rsidR="007E0343" w:rsidRDefault="007E0343" w:rsidP="00CB5E63">
            <w:pPr>
              <w:jc w:val="center"/>
            </w:pPr>
            <w:r>
              <w:rPr>
                <w:rFonts w:hint="eastAsia"/>
              </w:rPr>
              <w:t>標準誤差</w:t>
            </w:r>
          </w:p>
        </w:tc>
        <w:tc>
          <w:tcPr>
            <w:tcW w:w="1252" w:type="dxa"/>
          </w:tcPr>
          <w:p w14:paraId="270B6E93" w14:textId="77777777" w:rsidR="007E0343" w:rsidRDefault="007E0343" w:rsidP="00CB5E63">
            <w:pPr>
              <w:jc w:val="center"/>
            </w:pPr>
            <w:r>
              <w:rPr>
                <w:rFonts w:hint="eastAsia"/>
              </w:rPr>
              <w:t>最大値</w:t>
            </w:r>
          </w:p>
        </w:tc>
        <w:tc>
          <w:tcPr>
            <w:tcW w:w="1302" w:type="dxa"/>
          </w:tcPr>
          <w:p w14:paraId="7C9DC422" w14:textId="77777777" w:rsidR="007E0343" w:rsidRDefault="007E0343" w:rsidP="00CB5E63">
            <w:pPr>
              <w:jc w:val="center"/>
            </w:pPr>
            <w:r>
              <w:rPr>
                <w:rFonts w:hint="eastAsia"/>
              </w:rPr>
              <w:t>最小値</w:t>
            </w:r>
          </w:p>
        </w:tc>
      </w:tr>
      <w:tr w:rsidR="007E0343" w14:paraId="5917FB01" w14:textId="77777777" w:rsidTr="00CB5E63">
        <w:trPr>
          <w:jc w:val="center"/>
        </w:trPr>
        <w:tc>
          <w:tcPr>
            <w:tcW w:w="1110" w:type="dxa"/>
          </w:tcPr>
          <w:p w14:paraId="2AC9D883" w14:textId="77777777" w:rsidR="007E0343" w:rsidRDefault="007E0343" w:rsidP="00CB5E63">
            <w:pPr>
              <w:jc w:val="center"/>
            </w:pPr>
            <w:r>
              <w:rPr>
                <w:rFonts w:hint="eastAsia"/>
              </w:rPr>
              <w:t>0.019</w:t>
            </w:r>
          </w:p>
        </w:tc>
        <w:tc>
          <w:tcPr>
            <w:tcW w:w="1110" w:type="dxa"/>
          </w:tcPr>
          <w:p w14:paraId="1C83DBFB" w14:textId="77777777" w:rsidR="007E0343" w:rsidRDefault="007E0343" w:rsidP="00CB5E63">
            <w:pPr>
              <w:jc w:val="center"/>
            </w:pPr>
            <w:r>
              <w:rPr>
                <w:rFonts w:hint="eastAsia"/>
              </w:rPr>
              <w:t>0.045</w:t>
            </w:r>
          </w:p>
        </w:tc>
        <w:tc>
          <w:tcPr>
            <w:tcW w:w="1118" w:type="dxa"/>
          </w:tcPr>
          <w:p w14:paraId="099ADD1E" w14:textId="77777777" w:rsidR="007E0343" w:rsidRDefault="007E0343" w:rsidP="00CB5E63">
            <w:pPr>
              <w:jc w:val="center"/>
            </w:pPr>
            <w:r>
              <w:rPr>
                <w:rFonts w:hint="eastAsia"/>
              </w:rPr>
              <w:t>1.464</w:t>
            </w:r>
          </w:p>
        </w:tc>
        <w:tc>
          <w:tcPr>
            <w:tcW w:w="1252" w:type="dxa"/>
          </w:tcPr>
          <w:p w14:paraId="15216C77" w14:textId="77777777" w:rsidR="007E0343" w:rsidRDefault="007E0343" w:rsidP="00CB5E63">
            <w:pPr>
              <w:jc w:val="center"/>
            </w:pPr>
            <w:r>
              <w:rPr>
                <w:rFonts w:hint="eastAsia"/>
              </w:rPr>
              <w:t>16.951</w:t>
            </w:r>
          </w:p>
        </w:tc>
        <w:tc>
          <w:tcPr>
            <w:tcW w:w="1302" w:type="dxa"/>
          </w:tcPr>
          <w:p w14:paraId="3E4ADD48" w14:textId="77777777" w:rsidR="007E0343" w:rsidRDefault="007E0343" w:rsidP="00CB5E63">
            <w:pPr>
              <w:jc w:val="center"/>
            </w:pPr>
            <w:r>
              <w:rPr>
                <w:rFonts w:hint="eastAsia"/>
              </w:rPr>
              <w:t>-16.890</w:t>
            </w:r>
          </w:p>
        </w:tc>
      </w:tr>
      <w:tr w:rsidR="007E0343" w14:paraId="578980D3" w14:textId="77777777" w:rsidTr="00CB5E63">
        <w:trPr>
          <w:jc w:val="center"/>
        </w:trPr>
        <w:tc>
          <w:tcPr>
            <w:tcW w:w="1110" w:type="dxa"/>
          </w:tcPr>
          <w:p w14:paraId="08054C21" w14:textId="77777777" w:rsidR="007E0343" w:rsidRDefault="007E0343" w:rsidP="00CB5E63">
            <w:pPr>
              <w:jc w:val="center"/>
            </w:pPr>
            <w:r>
              <w:rPr>
                <w:rFonts w:hint="eastAsia"/>
              </w:rPr>
              <w:t>歪度</w:t>
            </w:r>
          </w:p>
        </w:tc>
        <w:tc>
          <w:tcPr>
            <w:tcW w:w="1110" w:type="dxa"/>
          </w:tcPr>
          <w:p w14:paraId="4E463DA4" w14:textId="77777777" w:rsidR="007E0343" w:rsidRDefault="007E0343" w:rsidP="00CB5E63">
            <w:pPr>
              <w:jc w:val="center"/>
            </w:pPr>
            <w:r>
              <w:rPr>
                <w:rFonts w:hint="eastAsia"/>
              </w:rPr>
              <w:t>歪度の</w:t>
            </w:r>
          </w:p>
          <w:p w14:paraId="77B7AA7F" w14:textId="77777777" w:rsidR="007E0343" w:rsidRDefault="007E0343" w:rsidP="00CB5E63">
            <w:pPr>
              <w:jc w:val="center"/>
            </w:pPr>
            <w:r>
              <w:rPr>
                <w:rFonts w:hint="eastAsia"/>
              </w:rPr>
              <w:t>標準誤差</w:t>
            </w:r>
          </w:p>
        </w:tc>
        <w:tc>
          <w:tcPr>
            <w:tcW w:w="1118" w:type="dxa"/>
          </w:tcPr>
          <w:p w14:paraId="5C14B5E2" w14:textId="77777777" w:rsidR="007E0343" w:rsidRDefault="007E0343" w:rsidP="00CB5E63">
            <w:pPr>
              <w:jc w:val="center"/>
            </w:pPr>
            <w:r>
              <w:rPr>
                <w:rFonts w:hint="eastAsia"/>
              </w:rPr>
              <w:t>尖度</w:t>
            </w:r>
          </w:p>
        </w:tc>
        <w:tc>
          <w:tcPr>
            <w:tcW w:w="1252" w:type="dxa"/>
          </w:tcPr>
          <w:p w14:paraId="219280BC" w14:textId="77777777" w:rsidR="007E0343" w:rsidRDefault="007E0343" w:rsidP="00CB5E63">
            <w:pPr>
              <w:jc w:val="center"/>
            </w:pPr>
            <w:r>
              <w:rPr>
                <w:rFonts w:hint="eastAsia"/>
              </w:rPr>
              <w:t>尖度の</w:t>
            </w:r>
          </w:p>
          <w:p w14:paraId="0C6179C7" w14:textId="77777777" w:rsidR="007E0343" w:rsidRDefault="007E0343" w:rsidP="00CB5E63">
            <w:pPr>
              <w:jc w:val="center"/>
            </w:pPr>
            <w:r>
              <w:rPr>
                <w:rFonts w:hint="eastAsia"/>
              </w:rPr>
              <w:t>標準誤差</w:t>
            </w:r>
          </w:p>
        </w:tc>
        <w:tc>
          <w:tcPr>
            <w:tcW w:w="1302" w:type="dxa"/>
          </w:tcPr>
          <w:p w14:paraId="128973BB" w14:textId="77777777" w:rsidR="007E0343" w:rsidRDefault="007E0343" w:rsidP="00CB5E63">
            <w:pPr>
              <w:jc w:val="center"/>
            </w:pPr>
            <w:proofErr w:type="spellStart"/>
            <w:r>
              <w:rPr>
                <w:rFonts w:hint="eastAsia"/>
              </w:rPr>
              <w:t>JargueBera</w:t>
            </w:r>
            <w:proofErr w:type="spellEnd"/>
          </w:p>
          <w:p w14:paraId="3E297565" w14:textId="77777777" w:rsidR="007E0343" w:rsidRDefault="007E0343" w:rsidP="00CB5E63">
            <w:pPr>
              <w:jc w:val="center"/>
            </w:pPr>
            <w:r>
              <w:rPr>
                <w:rFonts w:hint="eastAsia"/>
              </w:rPr>
              <w:t>統計量</w:t>
            </w:r>
          </w:p>
        </w:tc>
      </w:tr>
      <w:tr w:rsidR="007E0343" w14:paraId="2D77D153" w14:textId="77777777" w:rsidTr="00CB5E63">
        <w:trPr>
          <w:jc w:val="center"/>
        </w:trPr>
        <w:tc>
          <w:tcPr>
            <w:tcW w:w="1110" w:type="dxa"/>
          </w:tcPr>
          <w:p w14:paraId="51201663" w14:textId="77777777" w:rsidR="007E0343" w:rsidRDefault="007E0343" w:rsidP="00CB5E63">
            <w:pPr>
              <w:jc w:val="center"/>
            </w:pPr>
            <w:r>
              <w:rPr>
                <w:rFonts w:hint="eastAsia"/>
              </w:rPr>
              <w:t>-0.558</w:t>
            </w:r>
          </w:p>
        </w:tc>
        <w:tc>
          <w:tcPr>
            <w:tcW w:w="1110" w:type="dxa"/>
          </w:tcPr>
          <w:p w14:paraId="5707B7D8" w14:textId="77777777" w:rsidR="007E0343" w:rsidRDefault="007E0343" w:rsidP="00CB5E63">
            <w:pPr>
              <w:jc w:val="center"/>
            </w:pPr>
            <w:r>
              <w:rPr>
                <w:rFonts w:hint="eastAsia"/>
              </w:rPr>
              <w:t>0.075</w:t>
            </w:r>
          </w:p>
        </w:tc>
        <w:tc>
          <w:tcPr>
            <w:tcW w:w="1118" w:type="dxa"/>
          </w:tcPr>
          <w:p w14:paraId="5E24B82D" w14:textId="77777777" w:rsidR="007E0343" w:rsidRDefault="007E0343" w:rsidP="00CB5E63">
            <w:pPr>
              <w:jc w:val="center"/>
            </w:pPr>
            <w:r>
              <w:rPr>
                <w:rFonts w:hint="eastAsia"/>
              </w:rPr>
              <w:t>34.310</w:t>
            </w:r>
          </w:p>
        </w:tc>
        <w:tc>
          <w:tcPr>
            <w:tcW w:w="1252" w:type="dxa"/>
          </w:tcPr>
          <w:p w14:paraId="41BA86F7" w14:textId="77777777" w:rsidR="007E0343" w:rsidRDefault="007E0343" w:rsidP="00CB5E63">
            <w:pPr>
              <w:jc w:val="center"/>
            </w:pPr>
            <w:r>
              <w:rPr>
                <w:rFonts w:hint="eastAsia"/>
              </w:rPr>
              <w:t>0.151</w:t>
            </w:r>
          </w:p>
        </w:tc>
        <w:tc>
          <w:tcPr>
            <w:tcW w:w="1302" w:type="dxa"/>
          </w:tcPr>
          <w:p w14:paraId="2BD88BCC" w14:textId="77777777" w:rsidR="007E0343" w:rsidRDefault="007E0343" w:rsidP="00CB5E63">
            <w:pPr>
              <w:jc w:val="center"/>
            </w:pPr>
            <w:r>
              <w:rPr>
                <w:rFonts w:hint="eastAsia"/>
              </w:rPr>
              <w:t>71481.197</w:t>
            </w:r>
          </w:p>
        </w:tc>
      </w:tr>
    </w:tbl>
    <w:p w14:paraId="68A62A2D" w14:textId="77777777" w:rsidR="007E0343" w:rsidRDefault="007E0343" w:rsidP="007E0343">
      <w:pPr>
        <w:jc w:val="center"/>
      </w:pPr>
    </w:p>
    <w:p w14:paraId="49ACF60F" w14:textId="77777777" w:rsidR="007E0343" w:rsidRDefault="007E0343" w:rsidP="007E0343">
      <w:pPr>
        <w:jc w:val="center"/>
      </w:pPr>
    </w:p>
    <w:p w14:paraId="0B688501" w14:textId="77777777" w:rsidR="007E0343" w:rsidRDefault="007E0343" w:rsidP="007E0343">
      <w:pPr>
        <w:jc w:val="center"/>
      </w:pPr>
      <w:r>
        <w:rPr>
          <w:rFonts w:hint="eastAsia"/>
        </w:rPr>
        <w:t>表10　ランダムポートフォリオの推定されたボラティリティの基本統計量</w:t>
      </w:r>
    </w:p>
    <w:tbl>
      <w:tblPr>
        <w:tblStyle w:val="a5"/>
        <w:tblW w:w="0" w:type="auto"/>
        <w:jc w:val="center"/>
        <w:tblLook w:val="04A0" w:firstRow="1" w:lastRow="0" w:firstColumn="1" w:lastColumn="0" w:noHBand="0" w:noVBand="1"/>
      </w:tblPr>
      <w:tblGrid>
        <w:gridCol w:w="1110"/>
        <w:gridCol w:w="1110"/>
        <w:gridCol w:w="1118"/>
        <w:gridCol w:w="1252"/>
        <w:gridCol w:w="1302"/>
      </w:tblGrid>
      <w:tr w:rsidR="007E0343" w14:paraId="173A2ABE" w14:textId="77777777" w:rsidTr="00CB5E63">
        <w:trPr>
          <w:jc w:val="center"/>
        </w:trPr>
        <w:tc>
          <w:tcPr>
            <w:tcW w:w="1110" w:type="dxa"/>
          </w:tcPr>
          <w:p w14:paraId="43C32BE3" w14:textId="77777777" w:rsidR="007E0343" w:rsidRDefault="007E0343" w:rsidP="00CB5E63">
            <w:pPr>
              <w:jc w:val="center"/>
            </w:pPr>
            <w:r>
              <w:rPr>
                <w:rFonts w:hint="eastAsia"/>
              </w:rPr>
              <w:t>平均</w:t>
            </w:r>
          </w:p>
        </w:tc>
        <w:tc>
          <w:tcPr>
            <w:tcW w:w="1110" w:type="dxa"/>
          </w:tcPr>
          <w:p w14:paraId="317789F8" w14:textId="77777777" w:rsidR="007E0343" w:rsidRDefault="007E0343" w:rsidP="00CB5E63">
            <w:pPr>
              <w:jc w:val="center"/>
            </w:pPr>
            <w:r>
              <w:rPr>
                <w:rFonts w:hint="eastAsia"/>
              </w:rPr>
              <w:t>標準誤差</w:t>
            </w:r>
          </w:p>
        </w:tc>
        <w:tc>
          <w:tcPr>
            <w:tcW w:w="1118" w:type="dxa"/>
          </w:tcPr>
          <w:p w14:paraId="51F4B527" w14:textId="77777777" w:rsidR="007E0343" w:rsidRDefault="007E0343" w:rsidP="00CB5E63">
            <w:pPr>
              <w:jc w:val="center"/>
            </w:pPr>
            <w:r>
              <w:rPr>
                <w:rFonts w:hint="eastAsia"/>
              </w:rPr>
              <w:t>標準偏差</w:t>
            </w:r>
          </w:p>
        </w:tc>
        <w:tc>
          <w:tcPr>
            <w:tcW w:w="1252" w:type="dxa"/>
          </w:tcPr>
          <w:p w14:paraId="33D66CA4" w14:textId="77777777" w:rsidR="007E0343" w:rsidRDefault="007E0343" w:rsidP="00CB5E63">
            <w:pPr>
              <w:jc w:val="center"/>
            </w:pPr>
            <w:r>
              <w:rPr>
                <w:rFonts w:hint="eastAsia"/>
              </w:rPr>
              <w:t>最大値</w:t>
            </w:r>
          </w:p>
        </w:tc>
        <w:tc>
          <w:tcPr>
            <w:tcW w:w="1302" w:type="dxa"/>
          </w:tcPr>
          <w:p w14:paraId="44129064" w14:textId="77777777" w:rsidR="007E0343" w:rsidRDefault="007E0343" w:rsidP="00CB5E63">
            <w:pPr>
              <w:jc w:val="center"/>
            </w:pPr>
            <w:r>
              <w:rPr>
                <w:rFonts w:hint="eastAsia"/>
              </w:rPr>
              <w:t>最小値</w:t>
            </w:r>
          </w:p>
        </w:tc>
      </w:tr>
      <w:tr w:rsidR="007E0343" w14:paraId="1BCC7BF2" w14:textId="77777777" w:rsidTr="00CB5E63">
        <w:trPr>
          <w:jc w:val="center"/>
        </w:trPr>
        <w:tc>
          <w:tcPr>
            <w:tcW w:w="1110" w:type="dxa"/>
          </w:tcPr>
          <w:p w14:paraId="2D866968" w14:textId="77777777" w:rsidR="007E0343" w:rsidRDefault="007E0343" w:rsidP="00CB5E63">
            <w:pPr>
              <w:jc w:val="center"/>
            </w:pPr>
            <w:r>
              <w:rPr>
                <w:rFonts w:hint="eastAsia"/>
              </w:rPr>
              <w:t>1.164</w:t>
            </w:r>
          </w:p>
        </w:tc>
        <w:tc>
          <w:tcPr>
            <w:tcW w:w="1110" w:type="dxa"/>
          </w:tcPr>
          <w:p w14:paraId="18867EF8" w14:textId="77777777" w:rsidR="007E0343" w:rsidRDefault="007E0343" w:rsidP="00CB5E63">
            <w:pPr>
              <w:jc w:val="center"/>
            </w:pPr>
            <w:r>
              <w:rPr>
                <w:rFonts w:hint="eastAsia"/>
              </w:rPr>
              <w:t>0.023</w:t>
            </w:r>
          </w:p>
        </w:tc>
        <w:tc>
          <w:tcPr>
            <w:tcW w:w="1118" w:type="dxa"/>
          </w:tcPr>
          <w:p w14:paraId="7AC1AECE" w14:textId="77777777" w:rsidR="007E0343" w:rsidRDefault="007E0343" w:rsidP="00CB5E63">
            <w:pPr>
              <w:jc w:val="center"/>
            </w:pPr>
            <w:r>
              <w:rPr>
                <w:rFonts w:hint="eastAsia"/>
              </w:rPr>
              <w:t>0.731</w:t>
            </w:r>
          </w:p>
        </w:tc>
        <w:tc>
          <w:tcPr>
            <w:tcW w:w="1252" w:type="dxa"/>
          </w:tcPr>
          <w:p w14:paraId="735C164F" w14:textId="77777777" w:rsidR="007E0343" w:rsidRDefault="007E0343" w:rsidP="00CB5E63">
            <w:pPr>
              <w:jc w:val="center"/>
            </w:pPr>
            <w:r>
              <w:rPr>
                <w:rFonts w:hint="eastAsia"/>
              </w:rPr>
              <w:t>10.301</w:t>
            </w:r>
          </w:p>
        </w:tc>
        <w:tc>
          <w:tcPr>
            <w:tcW w:w="1302" w:type="dxa"/>
          </w:tcPr>
          <w:p w14:paraId="2ED0D01C" w14:textId="77777777" w:rsidR="007E0343" w:rsidRDefault="007E0343" w:rsidP="00CB5E63">
            <w:pPr>
              <w:jc w:val="center"/>
            </w:pPr>
            <w:r>
              <w:rPr>
                <w:rFonts w:hint="eastAsia"/>
              </w:rPr>
              <w:t>0.752</w:t>
            </w:r>
          </w:p>
        </w:tc>
      </w:tr>
      <w:tr w:rsidR="007E0343" w14:paraId="32304609" w14:textId="77777777" w:rsidTr="00CB5E63">
        <w:trPr>
          <w:jc w:val="center"/>
        </w:trPr>
        <w:tc>
          <w:tcPr>
            <w:tcW w:w="1110" w:type="dxa"/>
          </w:tcPr>
          <w:p w14:paraId="0EBBA81E" w14:textId="77777777" w:rsidR="007E0343" w:rsidRDefault="007E0343" w:rsidP="00CB5E63">
            <w:pPr>
              <w:jc w:val="center"/>
            </w:pPr>
            <w:r>
              <w:rPr>
                <w:rFonts w:hint="eastAsia"/>
              </w:rPr>
              <w:t>歪度</w:t>
            </w:r>
          </w:p>
        </w:tc>
        <w:tc>
          <w:tcPr>
            <w:tcW w:w="1110" w:type="dxa"/>
          </w:tcPr>
          <w:p w14:paraId="502D3906" w14:textId="77777777" w:rsidR="007E0343" w:rsidRDefault="007E0343" w:rsidP="00CB5E63">
            <w:pPr>
              <w:jc w:val="center"/>
            </w:pPr>
            <w:r>
              <w:rPr>
                <w:rFonts w:hint="eastAsia"/>
              </w:rPr>
              <w:t>歪度の</w:t>
            </w:r>
          </w:p>
          <w:p w14:paraId="71F188DF" w14:textId="77777777" w:rsidR="007E0343" w:rsidRDefault="007E0343" w:rsidP="00CB5E63">
            <w:pPr>
              <w:jc w:val="center"/>
            </w:pPr>
            <w:r>
              <w:rPr>
                <w:rFonts w:hint="eastAsia"/>
              </w:rPr>
              <w:t>標準誤差</w:t>
            </w:r>
          </w:p>
        </w:tc>
        <w:tc>
          <w:tcPr>
            <w:tcW w:w="1118" w:type="dxa"/>
          </w:tcPr>
          <w:p w14:paraId="5A1CD037" w14:textId="77777777" w:rsidR="007E0343" w:rsidRDefault="007E0343" w:rsidP="00CB5E63">
            <w:pPr>
              <w:jc w:val="center"/>
            </w:pPr>
            <w:r>
              <w:rPr>
                <w:rFonts w:hint="eastAsia"/>
              </w:rPr>
              <w:t>尖度</w:t>
            </w:r>
          </w:p>
        </w:tc>
        <w:tc>
          <w:tcPr>
            <w:tcW w:w="1252" w:type="dxa"/>
          </w:tcPr>
          <w:p w14:paraId="1E6CBBE7" w14:textId="77777777" w:rsidR="007E0343" w:rsidRDefault="007E0343" w:rsidP="00CB5E63">
            <w:pPr>
              <w:jc w:val="center"/>
            </w:pPr>
            <w:r>
              <w:rPr>
                <w:rFonts w:hint="eastAsia"/>
              </w:rPr>
              <w:t>尖度の</w:t>
            </w:r>
          </w:p>
          <w:p w14:paraId="4C71524D" w14:textId="77777777" w:rsidR="007E0343" w:rsidRDefault="007E0343" w:rsidP="00CB5E63">
            <w:pPr>
              <w:jc w:val="center"/>
            </w:pPr>
            <w:r>
              <w:rPr>
                <w:rFonts w:hint="eastAsia"/>
              </w:rPr>
              <w:t>標準誤差</w:t>
            </w:r>
          </w:p>
        </w:tc>
        <w:tc>
          <w:tcPr>
            <w:tcW w:w="1302" w:type="dxa"/>
          </w:tcPr>
          <w:p w14:paraId="326F3575" w14:textId="77777777" w:rsidR="007E0343" w:rsidRDefault="007E0343" w:rsidP="00CB5E63">
            <w:pPr>
              <w:jc w:val="center"/>
            </w:pPr>
            <w:proofErr w:type="spellStart"/>
            <w:r>
              <w:rPr>
                <w:rFonts w:hint="eastAsia"/>
              </w:rPr>
              <w:t>JargueBera</w:t>
            </w:r>
            <w:proofErr w:type="spellEnd"/>
          </w:p>
          <w:p w14:paraId="6F62890A" w14:textId="77777777" w:rsidR="007E0343" w:rsidRDefault="007E0343" w:rsidP="00CB5E63">
            <w:pPr>
              <w:jc w:val="center"/>
            </w:pPr>
            <w:r>
              <w:rPr>
                <w:rFonts w:hint="eastAsia"/>
              </w:rPr>
              <w:t>統計量</w:t>
            </w:r>
          </w:p>
        </w:tc>
      </w:tr>
      <w:tr w:rsidR="007E0343" w14:paraId="77700FA9" w14:textId="77777777" w:rsidTr="00CB5E63">
        <w:trPr>
          <w:jc w:val="center"/>
        </w:trPr>
        <w:tc>
          <w:tcPr>
            <w:tcW w:w="1110" w:type="dxa"/>
          </w:tcPr>
          <w:p w14:paraId="00FB956D" w14:textId="77777777" w:rsidR="007E0343" w:rsidRDefault="007E0343" w:rsidP="00CB5E63">
            <w:pPr>
              <w:jc w:val="center"/>
            </w:pPr>
            <w:r>
              <w:rPr>
                <w:rFonts w:hint="eastAsia"/>
              </w:rPr>
              <w:t>7.111</w:t>
            </w:r>
          </w:p>
        </w:tc>
        <w:tc>
          <w:tcPr>
            <w:tcW w:w="1110" w:type="dxa"/>
          </w:tcPr>
          <w:p w14:paraId="4EA01505" w14:textId="77777777" w:rsidR="007E0343" w:rsidRDefault="007E0343" w:rsidP="00CB5E63">
            <w:pPr>
              <w:jc w:val="center"/>
            </w:pPr>
            <w:r>
              <w:rPr>
                <w:rFonts w:hint="eastAsia"/>
              </w:rPr>
              <w:t>0.075</w:t>
            </w:r>
          </w:p>
        </w:tc>
        <w:tc>
          <w:tcPr>
            <w:tcW w:w="1118" w:type="dxa"/>
          </w:tcPr>
          <w:p w14:paraId="6E5330EA" w14:textId="77777777" w:rsidR="007E0343" w:rsidRDefault="007E0343" w:rsidP="00CB5E63">
            <w:pPr>
              <w:jc w:val="center"/>
            </w:pPr>
            <w:r>
              <w:rPr>
                <w:rFonts w:hint="eastAsia"/>
              </w:rPr>
              <w:t>67.828</w:t>
            </w:r>
          </w:p>
        </w:tc>
        <w:tc>
          <w:tcPr>
            <w:tcW w:w="1252" w:type="dxa"/>
          </w:tcPr>
          <w:p w14:paraId="08886CFC" w14:textId="77777777" w:rsidR="007E0343" w:rsidRDefault="007E0343" w:rsidP="00CB5E63">
            <w:pPr>
              <w:jc w:val="center"/>
            </w:pPr>
            <w:r>
              <w:rPr>
                <w:rFonts w:hint="eastAsia"/>
              </w:rPr>
              <w:t>0.151</w:t>
            </w:r>
          </w:p>
        </w:tc>
        <w:tc>
          <w:tcPr>
            <w:tcW w:w="1302" w:type="dxa"/>
          </w:tcPr>
          <w:p w14:paraId="74C9A947" w14:textId="77777777" w:rsidR="007E0343" w:rsidRDefault="007E0343" w:rsidP="00CB5E63">
            <w:pPr>
              <w:jc w:val="center"/>
            </w:pPr>
            <w:r>
              <w:rPr>
                <w:rFonts w:hint="eastAsia"/>
              </w:rPr>
              <w:t>193632.434</w:t>
            </w:r>
          </w:p>
        </w:tc>
      </w:tr>
    </w:tbl>
    <w:p w14:paraId="2115C4CD" w14:textId="77777777" w:rsidR="007E0343" w:rsidRDefault="007E0343" w:rsidP="007E0343">
      <w:pPr>
        <w:jc w:val="center"/>
      </w:pPr>
    </w:p>
    <w:p w14:paraId="5B2BB06E" w14:textId="77777777" w:rsidR="007E0343" w:rsidRDefault="007E0343" w:rsidP="007E0343">
      <w:pPr>
        <w:jc w:val="center"/>
      </w:pPr>
    </w:p>
    <w:p w14:paraId="361C6280" w14:textId="77777777" w:rsidR="007E0343" w:rsidRDefault="007E0343" w:rsidP="007E0343">
      <w:pPr>
        <w:widowControl/>
        <w:jc w:val="left"/>
      </w:pPr>
      <w:r>
        <w:br w:type="page"/>
      </w:r>
    </w:p>
    <w:p w14:paraId="79FB899C" w14:textId="77777777" w:rsidR="00E071C9" w:rsidRDefault="00E071C9">
      <w:r>
        <w:rPr>
          <w:rFonts w:hint="eastAsia"/>
        </w:rPr>
        <w:lastRenderedPageBreak/>
        <w:t>5章</w:t>
      </w:r>
      <w:r w:rsidR="00F92BEB">
        <w:rPr>
          <w:rFonts w:hint="eastAsia"/>
        </w:rPr>
        <w:t xml:space="preserve"> おわりに</w:t>
      </w:r>
    </w:p>
    <w:p w14:paraId="41DB1FF4" w14:textId="77777777" w:rsidR="00F92BEB" w:rsidRDefault="00F92BEB"/>
    <w:p w14:paraId="0E65BE44" w14:textId="77777777" w:rsidR="00F92BEB" w:rsidRDefault="00F92BEB">
      <w:r>
        <w:rPr>
          <w:rFonts w:hint="eastAsia"/>
        </w:rPr>
        <w:t>5.1 結果</w:t>
      </w:r>
    </w:p>
    <w:p w14:paraId="7040FC62" w14:textId="77777777" w:rsidR="00D95D0B" w:rsidRDefault="00D95D0B" w:rsidP="00D95D0B">
      <w:pPr>
        <w:ind w:firstLineChars="100" w:firstLine="210"/>
      </w:pPr>
      <w:r>
        <w:rPr>
          <w:rFonts w:hint="eastAsia"/>
        </w:rPr>
        <w:t>本レポートでの分析より、自信過剰な企業からなるポートフォリオについて、日経225やランダムに構成したポートフォリオと比較して、高いリターンを得ることが期待できる一方で、ボラティリティが相対的に高いという結果が得られた。このような結果から、仮説のとおり自信過剰な企業の株式に投資することは比較的高いリターンを得ることが出来る一方で、そのボラティリティは相対的に大きく、一定のリスクを孕んでいるということが</w:t>
      </w:r>
      <w:r w:rsidR="00F516F0">
        <w:rPr>
          <w:rFonts w:hint="eastAsia"/>
        </w:rPr>
        <w:t>定量的に</w:t>
      </w:r>
      <w:r w:rsidR="00B15021">
        <w:rPr>
          <w:rFonts w:hint="eastAsia"/>
        </w:rPr>
        <w:t>示唆されたといえるだろう</w:t>
      </w:r>
      <w:r>
        <w:rPr>
          <w:rFonts w:hint="eastAsia"/>
        </w:rPr>
        <w:t>。</w:t>
      </w:r>
    </w:p>
    <w:p w14:paraId="081F38F6" w14:textId="77777777" w:rsidR="00B15021" w:rsidRDefault="00B15021" w:rsidP="00D95D0B">
      <w:pPr>
        <w:ind w:firstLineChars="100" w:firstLine="210"/>
      </w:pPr>
      <w:r>
        <w:rPr>
          <w:rFonts w:hint="eastAsia"/>
        </w:rPr>
        <w:t>このような結果から、株式投資をする際にその株式のリターンやリスクを考える上で、経営者の自信過剰度合いというものを考慮したほうがより良いといえる。</w:t>
      </w:r>
    </w:p>
    <w:p w14:paraId="30D8E480" w14:textId="77777777" w:rsidR="00E071C9" w:rsidRPr="00D95D0B" w:rsidRDefault="00E071C9" w:rsidP="00D95D0B">
      <w:pPr>
        <w:ind w:firstLineChars="100" w:firstLine="210"/>
      </w:pPr>
    </w:p>
    <w:p w14:paraId="0BC2BFA5" w14:textId="77777777" w:rsidR="00F92BEB" w:rsidRDefault="00F92BEB">
      <w:r>
        <w:rPr>
          <w:rFonts w:hint="eastAsia"/>
        </w:rPr>
        <w:t>5.2 今後の研究について</w:t>
      </w:r>
    </w:p>
    <w:p w14:paraId="493ED8CF" w14:textId="77777777" w:rsidR="000F781F" w:rsidRDefault="00E071C9" w:rsidP="00F92BEB">
      <w:pPr>
        <w:ind w:firstLineChars="100" w:firstLine="210"/>
      </w:pPr>
      <w:r>
        <w:rPr>
          <w:rFonts w:hint="eastAsia"/>
        </w:rPr>
        <w:t>本レポートの今後の発展として、他の指標からも投資家の自信過剰度合いを測定し、それに基づいて再度検証を行うことなどが考えられるだろう。</w:t>
      </w:r>
      <w:r w:rsidR="00EA4B2B">
        <w:rPr>
          <w:rFonts w:hint="eastAsia"/>
        </w:rPr>
        <w:t>今回のスクリーニングでは若干企業に偏りがみられていたこと</w:t>
      </w:r>
      <w:r w:rsidR="00B15021">
        <w:rPr>
          <w:rFonts w:hint="eastAsia"/>
        </w:rPr>
        <w:t>や</w:t>
      </w:r>
      <w:r w:rsidR="00EA4B2B">
        <w:rPr>
          <w:rFonts w:hint="eastAsia"/>
        </w:rPr>
        <w:t>、企業数が少ないという問題があったため別の方法で再度サンプリングを行う必要があるかもしれない。</w:t>
      </w:r>
      <w:r>
        <w:rPr>
          <w:rFonts w:hint="eastAsia"/>
        </w:rPr>
        <w:t>また今回はGARCHモデルに基づき分析を行ったが、SVモデルを用いた場合結果が異なる可能性がある。</w:t>
      </w:r>
      <w:r w:rsidR="00EA4B2B">
        <w:rPr>
          <w:rFonts w:hint="eastAsia"/>
        </w:rPr>
        <w:t>したがって、SVモデルでも追加の分析を行うことが望ましいといえるだろう。</w:t>
      </w:r>
    </w:p>
    <w:p w14:paraId="0B105C10" w14:textId="77777777" w:rsidR="00D11C95" w:rsidRDefault="000F781F">
      <w:r>
        <w:br w:type="column"/>
      </w:r>
      <w:r w:rsidR="00D11C95">
        <w:rPr>
          <w:rFonts w:hint="eastAsia"/>
        </w:rPr>
        <w:lastRenderedPageBreak/>
        <w:t>参考文献</w:t>
      </w:r>
    </w:p>
    <w:p w14:paraId="0DA883A5" w14:textId="77777777" w:rsidR="008004D1" w:rsidRDefault="008004D1">
      <w:r w:rsidRPr="008004D1">
        <w:t>Engle, R. F. (1982). Autoregressive conditional heteroscedasticity with estimates of the variance of United Kingdom inflation. </w:t>
      </w:r>
      <w:proofErr w:type="spellStart"/>
      <w:r w:rsidRPr="008004D1">
        <w:rPr>
          <w:i/>
          <w:iCs/>
        </w:rPr>
        <w:t>Econometrica</w:t>
      </w:r>
      <w:proofErr w:type="spellEnd"/>
      <w:r w:rsidRPr="008004D1">
        <w:rPr>
          <w:i/>
          <w:iCs/>
        </w:rPr>
        <w:t>: Journal of the econometric society</w:t>
      </w:r>
      <w:r w:rsidRPr="008004D1">
        <w:t>, 987-1007.</w:t>
      </w:r>
    </w:p>
    <w:p w14:paraId="14CEFC67" w14:textId="77777777" w:rsidR="008004D1" w:rsidRDefault="008004D1">
      <w:r w:rsidRPr="008004D1">
        <w:t>Engle, R. F., &amp; Bollerslev, T. (1986). Modelling the persistence of conditional variances. </w:t>
      </w:r>
      <w:r w:rsidRPr="008004D1">
        <w:rPr>
          <w:i/>
          <w:iCs/>
        </w:rPr>
        <w:t>Econometric reviews</w:t>
      </w:r>
      <w:r w:rsidRPr="008004D1">
        <w:t>, </w:t>
      </w:r>
      <w:r w:rsidRPr="008004D1">
        <w:rPr>
          <w:i/>
          <w:iCs/>
        </w:rPr>
        <w:t>5</w:t>
      </w:r>
      <w:r w:rsidRPr="008004D1">
        <w:t>(1), 1-50.</w:t>
      </w:r>
    </w:p>
    <w:p w14:paraId="63B5BC61" w14:textId="77777777" w:rsidR="00C51D6E" w:rsidRDefault="00C51D6E">
      <w:r w:rsidRPr="00D11C95">
        <w:t>Gervais, S., Heaton, J. B., &amp; Odean, T. (2002). The positive role of overconfidence and optimism in investment policy.</w:t>
      </w:r>
      <w:r w:rsidRPr="00967F10">
        <w:rPr>
          <w:i/>
          <w:iCs/>
        </w:rPr>
        <w:t xml:space="preserve"> The Rodney L. White Center for Financial Research</w:t>
      </w:r>
      <w:r w:rsidRPr="00D11C95">
        <w:t>, 15(2), 1–47.</w:t>
      </w:r>
    </w:p>
    <w:p w14:paraId="4E08C196" w14:textId="77777777" w:rsidR="000F781F" w:rsidRDefault="000F781F">
      <w:r>
        <w:rPr>
          <w:rFonts w:hint="eastAsia"/>
        </w:rPr>
        <w:t>Hribar, P. and H. Yang (2016)</w:t>
      </w:r>
      <w:r w:rsidR="00967F10">
        <w:rPr>
          <w:rFonts w:hint="eastAsia"/>
        </w:rPr>
        <w:t>.</w:t>
      </w:r>
      <w:r>
        <w:rPr>
          <w:rFonts w:hint="eastAsia"/>
        </w:rPr>
        <w:t xml:space="preserve"> CEO Overconfidence and Management Forecast. </w:t>
      </w:r>
      <w:r w:rsidRPr="00967F10">
        <w:rPr>
          <w:rFonts w:hint="eastAsia"/>
          <w:i/>
          <w:iCs/>
        </w:rPr>
        <w:t>Contemporary Accounting  Research</w:t>
      </w:r>
      <w:r w:rsidR="00C51D6E">
        <w:rPr>
          <w:rFonts w:hint="eastAsia"/>
          <w:i/>
          <w:iCs/>
        </w:rPr>
        <w:t>,</w:t>
      </w:r>
      <w:r>
        <w:rPr>
          <w:rFonts w:hint="eastAsia"/>
        </w:rPr>
        <w:t xml:space="preserve"> 33(1)</w:t>
      </w:r>
      <w:r w:rsidR="00967F10">
        <w:rPr>
          <w:rFonts w:hint="eastAsia"/>
        </w:rPr>
        <w:t>,</w:t>
      </w:r>
      <w:r>
        <w:rPr>
          <w:rFonts w:hint="eastAsia"/>
        </w:rPr>
        <w:t xml:space="preserve"> 204-227</w:t>
      </w:r>
      <w:r w:rsidR="00967F10">
        <w:rPr>
          <w:rFonts w:hint="eastAsia"/>
        </w:rPr>
        <w:t>.</w:t>
      </w:r>
    </w:p>
    <w:p w14:paraId="40F763FF" w14:textId="77777777" w:rsidR="00D11C95" w:rsidRDefault="00D11C95">
      <w:r w:rsidRPr="00D11C95">
        <w:t xml:space="preserve">Kim, J. B., Wang, Z., &amp; Zhang, L. (2016). CEO Overconfidence and Stock Price Crash Risk. </w:t>
      </w:r>
      <w:r w:rsidRPr="00C51D6E">
        <w:rPr>
          <w:i/>
          <w:iCs/>
        </w:rPr>
        <w:t>Contemporary Accounting Research</w:t>
      </w:r>
      <w:r w:rsidRPr="00D11C95">
        <w:t>, 33(4), 1720–1749.</w:t>
      </w:r>
    </w:p>
    <w:p w14:paraId="6DC3F291" w14:textId="77777777" w:rsidR="00D11C95" w:rsidRDefault="00D11C95">
      <w:proofErr w:type="spellStart"/>
      <w:r w:rsidRPr="00D11C95">
        <w:t>Malmendier</w:t>
      </w:r>
      <w:proofErr w:type="spellEnd"/>
      <w:r w:rsidRPr="00D11C95">
        <w:t xml:space="preserve">, U., &amp; Tate, G. (2005a). CEO Overconfidence and Corporate Investment. </w:t>
      </w:r>
      <w:r w:rsidRPr="00C51D6E">
        <w:rPr>
          <w:i/>
          <w:iCs/>
        </w:rPr>
        <w:t>The Journal of Finance,</w:t>
      </w:r>
      <w:r w:rsidRPr="00D11C95">
        <w:t xml:space="preserve"> 60(6), 2661–2700.</w:t>
      </w:r>
    </w:p>
    <w:p w14:paraId="113DA914" w14:textId="77777777" w:rsidR="00B14689" w:rsidRDefault="00B14689">
      <w:r>
        <w:t>Skala, D.</w:t>
      </w:r>
      <w:r>
        <w:rPr>
          <w:rFonts w:hint="eastAsia"/>
        </w:rPr>
        <w:t xml:space="preserve"> (2008). Overconfidence in Psychology and Finance: An Interdisciplinary</w:t>
      </w:r>
      <w:r w:rsidR="000F781F">
        <w:rPr>
          <w:rFonts w:hint="eastAsia"/>
        </w:rPr>
        <w:t xml:space="preserve"> Literature Review. </w:t>
      </w:r>
      <w:r w:rsidR="000F781F" w:rsidRPr="00C51D6E">
        <w:rPr>
          <w:rFonts w:hint="eastAsia"/>
          <w:i/>
          <w:iCs/>
        </w:rPr>
        <w:t xml:space="preserve">Bank </w:t>
      </w:r>
      <w:r w:rsidR="000F781F" w:rsidRPr="00C51D6E">
        <w:rPr>
          <w:i/>
          <w:iCs/>
        </w:rPr>
        <w:t>I</w:t>
      </w:r>
      <w:r w:rsidR="00C51D6E">
        <w:rPr>
          <w:rFonts w:hint="eastAsia"/>
          <w:i/>
          <w:iCs/>
        </w:rPr>
        <w:t>,</w:t>
      </w:r>
      <w:r w:rsidR="000F781F" w:rsidRPr="00C51D6E">
        <w:rPr>
          <w:rFonts w:hint="eastAsia"/>
          <w:i/>
          <w:iCs/>
        </w:rPr>
        <w:t xml:space="preserve"> </w:t>
      </w:r>
      <w:proofErr w:type="spellStart"/>
      <w:r w:rsidR="000F781F" w:rsidRPr="00C51D6E">
        <w:rPr>
          <w:rFonts w:hint="eastAsia"/>
        </w:rPr>
        <w:t>Kredyt</w:t>
      </w:r>
      <w:proofErr w:type="spellEnd"/>
      <w:r w:rsidR="000F781F" w:rsidRPr="00C51D6E">
        <w:rPr>
          <w:rFonts w:hint="eastAsia"/>
        </w:rPr>
        <w:t xml:space="preserve"> </w:t>
      </w:r>
      <w:r w:rsidR="000F781F">
        <w:rPr>
          <w:rFonts w:hint="eastAsia"/>
        </w:rPr>
        <w:t xml:space="preserve">(4), 33-55 </w:t>
      </w:r>
      <w:r w:rsidR="00C51D6E">
        <w:rPr>
          <w:rFonts w:hint="eastAsia"/>
        </w:rPr>
        <w:t>.</w:t>
      </w:r>
    </w:p>
    <w:p w14:paraId="058C163F" w14:textId="77777777" w:rsidR="00C827EC" w:rsidRDefault="00C827EC">
      <w:r w:rsidRPr="00C827EC">
        <w:t xml:space="preserve">太田裕貴 (2019) </w:t>
      </w:r>
      <w:r w:rsidR="00C51D6E">
        <w:rPr>
          <w:rFonts w:hint="eastAsia"/>
        </w:rPr>
        <w:t>「</w:t>
      </w:r>
      <w:r w:rsidRPr="00C827EC">
        <w:t>経営者の自信過剰が企業投資に与える影響ー経営者利益予想に注目してー</w:t>
      </w:r>
      <w:r w:rsidR="00C51D6E">
        <w:rPr>
          <w:rFonts w:hint="eastAsia"/>
        </w:rPr>
        <w:t>」</w:t>
      </w:r>
      <w:r w:rsidRPr="00C827EC">
        <w:t> </w:t>
      </w:r>
      <w:r w:rsidRPr="00C827EC">
        <w:rPr>
          <w:i/>
          <w:iCs/>
        </w:rPr>
        <w:t>静岡産業大学情報学部研究紀要</w:t>
      </w:r>
      <w:r w:rsidRPr="00C827EC">
        <w:t>, </w:t>
      </w:r>
      <w:r w:rsidRPr="00C51D6E">
        <w:t>21</w:t>
      </w:r>
      <w:r w:rsidRPr="00C827EC">
        <w:t>, 77-97.</w:t>
      </w:r>
    </w:p>
    <w:p w14:paraId="6A3E2848" w14:textId="77777777" w:rsidR="000F781F" w:rsidRDefault="000F781F">
      <w:r w:rsidRPr="000F781F">
        <w:t xml:space="preserve">寧東来 (2022) </w:t>
      </w:r>
      <w:r w:rsidR="00C51D6E">
        <w:rPr>
          <w:rFonts w:hint="eastAsia"/>
        </w:rPr>
        <w:t>「</w:t>
      </w:r>
      <w:r w:rsidRPr="000F781F">
        <w:t>経営者の自信過剰, 企業の配当と投資についての実証研究</w:t>
      </w:r>
      <w:r w:rsidR="00C51D6E">
        <w:rPr>
          <w:rFonts w:hint="eastAsia"/>
        </w:rPr>
        <w:t>」</w:t>
      </w:r>
      <w:r w:rsidRPr="000F781F">
        <w:t> </w:t>
      </w:r>
      <w:r w:rsidRPr="000F781F">
        <w:rPr>
          <w:i/>
          <w:iCs/>
        </w:rPr>
        <w:t>行動経済学</w:t>
      </w:r>
      <w:r w:rsidRPr="000F781F">
        <w:t>,</w:t>
      </w:r>
      <w:r w:rsidRPr="00C51D6E">
        <w:t> 15(</w:t>
      </w:r>
      <w:proofErr w:type="spellStart"/>
      <w:r w:rsidRPr="000F781F">
        <w:t>Special_issue</w:t>
      </w:r>
      <w:proofErr w:type="spellEnd"/>
      <w:r w:rsidRPr="000F781F">
        <w:t>), S30-S32.</w:t>
      </w:r>
    </w:p>
    <w:p w14:paraId="6D9C313D" w14:textId="77777777" w:rsidR="00EB4663" w:rsidRDefault="00EB4663">
      <w:r>
        <w:rPr>
          <w:rFonts w:hint="eastAsia"/>
        </w:rPr>
        <w:t>渡部敏明(2000)『ボラティリティ変動モデル』朝倉書店</w:t>
      </w:r>
    </w:p>
    <w:p w14:paraId="1C19DE42" w14:textId="77777777" w:rsidR="00143842" w:rsidRDefault="00143842"/>
    <w:p w14:paraId="27704F70" w14:textId="77777777" w:rsidR="00143842" w:rsidRDefault="00143842">
      <w:r>
        <w:rPr>
          <w:rFonts w:hint="eastAsia"/>
        </w:rPr>
        <w:t>データ</w:t>
      </w:r>
      <w:r w:rsidR="00C51D6E">
        <w:rPr>
          <w:rFonts w:hint="eastAsia"/>
        </w:rPr>
        <w:t>の出所</w:t>
      </w:r>
    </w:p>
    <w:p w14:paraId="1AA43DC7" w14:textId="77777777" w:rsidR="00143842" w:rsidRDefault="00143842">
      <w:r w:rsidRPr="00143842">
        <w:t xml:space="preserve">企業情報データベース </w:t>
      </w:r>
      <w:proofErr w:type="spellStart"/>
      <w:r w:rsidRPr="00143842">
        <w:t>eol</w:t>
      </w:r>
      <w:proofErr w:type="spellEnd"/>
      <w:r w:rsidRPr="00143842">
        <w:t xml:space="preserve"> </w:t>
      </w:r>
      <w:hyperlink r:id="rId20" w:history="1">
        <w:r w:rsidR="00967F10" w:rsidRPr="0034034B">
          <w:rPr>
            <w:rStyle w:val="a9"/>
          </w:rPr>
          <w:t>https://www.pronexus.co.jp/solution/database/eol.html</w:t>
        </w:r>
      </w:hyperlink>
      <w:r w:rsidR="00967F10">
        <w:rPr>
          <w:rFonts w:hint="eastAsia"/>
        </w:rPr>
        <w:t>，</w:t>
      </w:r>
    </w:p>
    <w:p w14:paraId="29E2B6B6" w14:textId="77777777" w:rsidR="00967F10" w:rsidRDefault="00967F10">
      <w:r>
        <w:rPr>
          <w:rFonts w:hint="eastAsia"/>
        </w:rPr>
        <w:t xml:space="preserve">Yahoo! ファイナンス　</w:t>
      </w:r>
      <w:hyperlink r:id="rId21" w:history="1">
        <w:r w:rsidRPr="0034034B">
          <w:rPr>
            <w:rStyle w:val="a9"/>
          </w:rPr>
          <w:t>https://finance.yahoo.co.jp/</w:t>
        </w:r>
      </w:hyperlink>
      <w:r>
        <w:rPr>
          <w:rFonts w:hint="eastAsia"/>
        </w:rPr>
        <w:t>，</w:t>
      </w:r>
    </w:p>
    <w:p w14:paraId="79883F87" w14:textId="77777777" w:rsidR="00967F10" w:rsidRDefault="00967F10">
      <w:r>
        <w:t>日経NEEDS株価指数先物・オプションティック</w:t>
      </w:r>
      <w:r>
        <w:rPr>
          <w:rFonts w:hint="eastAsia"/>
        </w:rPr>
        <w:t>データ</w:t>
      </w:r>
    </w:p>
    <w:p w14:paraId="7AFA0EF5" w14:textId="77777777" w:rsidR="00967F10" w:rsidRDefault="00967F10">
      <w:hyperlink r:id="rId22" w:history="1">
        <w:r w:rsidRPr="0034034B">
          <w:rPr>
            <w:rStyle w:val="a9"/>
          </w:rPr>
          <w:t>https://www.nikkeimm.co.jp/service/detail/id=317</w:t>
        </w:r>
      </w:hyperlink>
      <w:r>
        <w:rPr>
          <w:rFonts w:hint="eastAsia"/>
        </w:rPr>
        <w:t>，</w:t>
      </w:r>
    </w:p>
    <w:p w14:paraId="661CC304" w14:textId="77777777" w:rsidR="00967F10" w:rsidRPr="00967F10" w:rsidRDefault="00967F10"/>
    <w:sectPr w:rsidR="00967F10" w:rsidRPr="00967F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2726D" w14:textId="77777777" w:rsidR="0014669F" w:rsidRDefault="0014669F" w:rsidP="00143842">
      <w:r>
        <w:separator/>
      </w:r>
    </w:p>
  </w:endnote>
  <w:endnote w:type="continuationSeparator" w:id="0">
    <w:p w14:paraId="1CFFE3C7" w14:textId="77777777" w:rsidR="0014669F" w:rsidRDefault="0014669F" w:rsidP="0014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91261" w14:textId="77777777" w:rsidR="0014669F" w:rsidRDefault="0014669F" w:rsidP="00143842">
      <w:r>
        <w:separator/>
      </w:r>
    </w:p>
  </w:footnote>
  <w:footnote w:type="continuationSeparator" w:id="0">
    <w:p w14:paraId="30655AE1" w14:textId="77777777" w:rsidR="0014669F" w:rsidRDefault="0014669F" w:rsidP="00143842">
      <w:r>
        <w:continuationSeparator/>
      </w:r>
    </w:p>
  </w:footnote>
  <w:footnote w:id="1">
    <w:p w14:paraId="05303DE7" w14:textId="77777777" w:rsidR="00143842" w:rsidRDefault="00143842">
      <w:pPr>
        <w:pStyle w:val="a6"/>
      </w:pPr>
      <w:r w:rsidRPr="00967F10">
        <w:rPr>
          <w:rStyle w:val="a8"/>
          <w:sz w:val="16"/>
          <w:szCs w:val="16"/>
        </w:rPr>
        <w:footnoteRef/>
      </w:r>
      <w:r w:rsidRPr="00967F10">
        <w:rPr>
          <w:sz w:val="16"/>
          <w:szCs w:val="16"/>
        </w:rPr>
        <w:t xml:space="preserve"> 企業情報データベース eol </w:t>
      </w:r>
      <w:hyperlink r:id="rId1" w:history="1">
        <w:r w:rsidR="00967F10" w:rsidRPr="00967F10">
          <w:rPr>
            <w:rStyle w:val="a9"/>
            <w:sz w:val="16"/>
            <w:szCs w:val="16"/>
          </w:rPr>
          <w:t>https://www.pronexus.co.jp/solution/database/eol.html</w:t>
        </w:r>
      </w:hyperlink>
      <w:r w:rsidR="00967F10">
        <w:rPr>
          <w:rFonts w:hint="eastAsia"/>
        </w:rPr>
        <w:t>，</w:t>
      </w:r>
    </w:p>
  </w:footnote>
  <w:footnote w:id="2">
    <w:p w14:paraId="26C383B0" w14:textId="77777777" w:rsidR="00B63942" w:rsidRDefault="00B63942">
      <w:pPr>
        <w:pStyle w:val="a6"/>
      </w:pPr>
      <w:r>
        <w:rPr>
          <w:rStyle w:val="a8"/>
        </w:rPr>
        <w:footnoteRef/>
      </w:r>
      <w:r>
        <w:t xml:space="preserve"> </w:t>
      </w:r>
      <w:r w:rsidRPr="00967F10">
        <w:rPr>
          <w:rFonts w:hint="eastAsia"/>
          <w:sz w:val="16"/>
          <w:szCs w:val="16"/>
        </w:rPr>
        <w:t xml:space="preserve">Yahoo! ファイナンス　</w:t>
      </w:r>
      <w:hyperlink r:id="rId2" w:history="1">
        <w:r w:rsidR="00967F10" w:rsidRPr="0034034B">
          <w:rPr>
            <w:rStyle w:val="a9"/>
            <w:sz w:val="16"/>
            <w:szCs w:val="16"/>
          </w:rPr>
          <w:t>https://finance.yahoo.co.jp/</w:t>
        </w:r>
      </w:hyperlink>
      <w:r w:rsidR="00967F10">
        <w:rPr>
          <w:rFonts w:hint="eastAsia"/>
          <w:sz w:val="16"/>
          <w:szCs w:val="16"/>
        </w:rPr>
        <w:t>，</w:t>
      </w:r>
    </w:p>
  </w:footnote>
  <w:footnote w:id="3">
    <w:p w14:paraId="359FB654" w14:textId="77777777" w:rsidR="005B0E7A" w:rsidRDefault="005B0E7A" w:rsidP="005B0E7A">
      <w:pPr>
        <w:pStyle w:val="a6"/>
      </w:pPr>
      <w:r>
        <w:rPr>
          <w:rStyle w:val="a8"/>
        </w:rPr>
        <w:footnoteRef/>
      </w:r>
      <w:r>
        <w:t xml:space="preserve"> </w:t>
      </w:r>
      <w:r w:rsidRPr="00967F10">
        <w:rPr>
          <w:sz w:val="16"/>
          <w:szCs w:val="16"/>
        </w:rPr>
        <w:t>日経NEEDS株価指数先物・オプションティック</w:t>
      </w:r>
      <w:r w:rsidRPr="00967F10">
        <w:rPr>
          <w:rFonts w:hint="eastAsia"/>
          <w:sz w:val="16"/>
          <w:szCs w:val="16"/>
        </w:rPr>
        <w:t>データ</w:t>
      </w:r>
      <w:r w:rsidRPr="00967F10">
        <w:rPr>
          <w:sz w:val="16"/>
          <w:szCs w:val="16"/>
        </w:rPr>
        <w:t>https://www.nikkeimm.co.jp/service/detail/id=317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A5190A"/>
    <w:multiLevelType w:val="hybridMultilevel"/>
    <w:tmpl w:val="BF3E3286"/>
    <w:lvl w:ilvl="0" w:tplc="42CC1E1E">
      <w:start w:val="1"/>
      <w:numFmt w:val="decimal"/>
      <w:lvlText w:val="%1章"/>
      <w:lvlJc w:val="left"/>
      <w:pPr>
        <w:ind w:left="600" w:hanging="60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0573C7C"/>
    <w:multiLevelType w:val="hybridMultilevel"/>
    <w:tmpl w:val="C152F9D2"/>
    <w:lvl w:ilvl="0" w:tplc="B9E4DDD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5D947A6"/>
    <w:multiLevelType w:val="hybridMultilevel"/>
    <w:tmpl w:val="01CC486E"/>
    <w:lvl w:ilvl="0" w:tplc="B0089D32">
      <w:start w:val="1"/>
      <w:numFmt w:val="decimal"/>
      <w:lvlText w:val="第%1章"/>
      <w:lvlJc w:val="left"/>
      <w:pPr>
        <w:ind w:left="855" w:hanging="85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23365424">
    <w:abstractNumId w:val="1"/>
  </w:num>
  <w:num w:numId="2" w16cid:durableId="1606962029">
    <w:abstractNumId w:val="2"/>
  </w:num>
  <w:num w:numId="3" w16cid:durableId="56754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BB"/>
    <w:rsid w:val="000155DD"/>
    <w:rsid w:val="0002596F"/>
    <w:rsid w:val="0004174E"/>
    <w:rsid w:val="000A50F9"/>
    <w:rsid w:val="000C0DAE"/>
    <w:rsid w:val="000C4D0D"/>
    <w:rsid w:val="000F781F"/>
    <w:rsid w:val="00143842"/>
    <w:rsid w:val="0014669F"/>
    <w:rsid w:val="00197B62"/>
    <w:rsid w:val="001F251C"/>
    <w:rsid w:val="001F5C96"/>
    <w:rsid w:val="00272B88"/>
    <w:rsid w:val="002A0E8E"/>
    <w:rsid w:val="002A708F"/>
    <w:rsid w:val="002B6177"/>
    <w:rsid w:val="002E5F43"/>
    <w:rsid w:val="002E6E0E"/>
    <w:rsid w:val="003029F0"/>
    <w:rsid w:val="0030434C"/>
    <w:rsid w:val="0032664E"/>
    <w:rsid w:val="00366B6F"/>
    <w:rsid w:val="00372CBB"/>
    <w:rsid w:val="003E3946"/>
    <w:rsid w:val="003F3545"/>
    <w:rsid w:val="00423FD4"/>
    <w:rsid w:val="0049091E"/>
    <w:rsid w:val="00491F10"/>
    <w:rsid w:val="004B149A"/>
    <w:rsid w:val="004D065E"/>
    <w:rsid w:val="004D47B3"/>
    <w:rsid w:val="004F1A36"/>
    <w:rsid w:val="004F7E8B"/>
    <w:rsid w:val="00581FEF"/>
    <w:rsid w:val="005A34DF"/>
    <w:rsid w:val="005B0E2F"/>
    <w:rsid w:val="005B0E7A"/>
    <w:rsid w:val="005C64CA"/>
    <w:rsid w:val="005C7C42"/>
    <w:rsid w:val="005D7FBC"/>
    <w:rsid w:val="00607FF7"/>
    <w:rsid w:val="0062180A"/>
    <w:rsid w:val="00627B02"/>
    <w:rsid w:val="006644D5"/>
    <w:rsid w:val="00750854"/>
    <w:rsid w:val="00766DCE"/>
    <w:rsid w:val="00767C00"/>
    <w:rsid w:val="007A364E"/>
    <w:rsid w:val="007C0ECD"/>
    <w:rsid w:val="007E0343"/>
    <w:rsid w:val="008004D1"/>
    <w:rsid w:val="0084309C"/>
    <w:rsid w:val="0087743A"/>
    <w:rsid w:val="0089300F"/>
    <w:rsid w:val="00894DA6"/>
    <w:rsid w:val="008A1EE2"/>
    <w:rsid w:val="008C51B6"/>
    <w:rsid w:val="008D1656"/>
    <w:rsid w:val="008F7083"/>
    <w:rsid w:val="00940B98"/>
    <w:rsid w:val="00966DEB"/>
    <w:rsid w:val="00967F10"/>
    <w:rsid w:val="00993A46"/>
    <w:rsid w:val="009B4D20"/>
    <w:rsid w:val="009E753A"/>
    <w:rsid w:val="00A0373A"/>
    <w:rsid w:val="00A46DE0"/>
    <w:rsid w:val="00A61B0D"/>
    <w:rsid w:val="00A805A1"/>
    <w:rsid w:val="00AA7A05"/>
    <w:rsid w:val="00AC79D1"/>
    <w:rsid w:val="00AE417D"/>
    <w:rsid w:val="00AF689D"/>
    <w:rsid w:val="00B14689"/>
    <w:rsid w:val="00B15021"/>
    <w:rsid w:val="00B63942"/>
    <w:rsid w:val="00B872F4"/>
    <w:rsid w:val="00BA78C2"/>
    <w:rsid w:val="00BB3497"/>
    <w:rsid w:val="00BC6ADA"/>
    <w:rsid w:val="00BE2EA1"/>
    <w:rsid w:val="00BE5584"/>
    <w:rsid w:val="00BE7289"/>
    <w:rsid w:val="00C458F1"/>
    <w:rsid w:val="00C51D6E"/>
    <w:rsid w:val="00C827EC"/>
    <w:rsid w:val="00C9165C"/>
    <w:rsid w:val="00CD349B"/>
    <w:rsid w:val="00CF0C4B"/>
    <w:rsid w:val="00D11C95"/>
    <w:rsid w:val="00D164BC"/>
    <w:rsid w:val="00D2735C"/>
    <w:rsid w:val="00D354AF"/>
    <w:rsid w:val="00D95D0B"/>
    <w:rsid w:val="00DB1DC6"/>
    <w:rsid w:val="00DB7920"/>
    <w:rsid w:val="00DD68D4"/>
    <w:rsid w:val="00E071C9"/>
    <w:rsid w:val="00E51416"/>
    <w:rsid w:val="00E741D1"/>
    <w:rsid w:val="00E77CE0"/>
    <w:rsid w:val="00EA4B2B"/>
    <w:rsid w:val="00EB4663"/>
    <w:rsid w:val="00EC1FED"/>
    <w:rsid w:val="00ED5E4B"/>
    <w:rsid w:val="00F0159D"/>
    <w:rsid w:val="00F516F0"/>
    <w:rsid w:val="00F71680"/>
    <w:rsid w:val="00F92BEB"/>
    <w:rsid w:val="00F959CE"/>
    <w:rsid w:val="00FA5512"/>
    <w:rsid w:val="00FB1CA8"/>
    <w:rsid w:val="00FB72C3"/>
    <w:rsid w:val="00FD7E54"/>
    <w:rsid w:val="00FF7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3E354E"/>
  <w15:chartTrackingRefBased/>
  <w15:docId w15:val="{8D7F13C0-6335-487E-AFFB-544D382B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4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CE0"/>
    <w:pPr>
      <w:ind w:leftChars="400" w:left="840"/>
    </w:pPr>
  </w:style>
  <w:style w:type="character" w:styleId="a4">
    <w:name w:val="Placeholder Text"/>
    <w:basedOn w:val="a0"/>
    <w:uiPriority w:val="99"/>
    <w:semiHidden/>
    <w:rsid w:val="008A1EE2"/>
    <w:rPr>
      <w:color w:val="666666"/>
    </w:rPr>
  </w:style>
  <w:style w:type="table" w:styleId="a5">
    <w:name w:val="Table Grid"/>
    <w:basedOn w:val="a1"/>
    <w:uiPriority w:val="39"/>
    <w:rsid w:val="00D35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143842"/>
    <w:pPr>
      <w:snapToGrid w:val="0"/>
      <w:jc w:val="left"/>
    </w:pPr>
  </w:style>
  <w:style w:type="character" w:customStyle="1" w:styleId="a7">
    <w:name w:val="脚注文字列 (文字)"/>
    <w:basedOn w:val="a0"/>
    <w:link w:val="a6"/>
    <w:uiPriority w:val="99"/>
    <w:semiHidden/>
    <w:rsid w:val="00143842"/>
  </w:style>
  <w:style w:type="character" w:styleId="a8">
    <w:name w:val="footnote reference"/>
    <w:basedOn w:val="a0"/>
    <w:uiPriority w:val="99"/>
    <w:semiHidden/>
    <w:unhideWhenUsed/>
    <w:rsid w:val="00143842"/>
    <w:rPr>
      <w:vertAlign w:val="superscript"/>
    </w:rPr>
  </w:style>
  <w:style w:type="character" w:styleId="a9">
    <w:name w:val="Hyperlink"/>
    <w:basedOn w:val="a0"/>
    <w:uiPriority w:val="99"/>
    <w:unhideWhenUsed/>
    <w:rsid w:val="00B63942"/>
    <w:rPr>
      <w:color w:val="0563C1" w:themeColor="hyperlink"/>
      <w:u w:val="single"/>
    </w:rPr>
  </w:style>
  <w:style w:type="character" w:styleId="aa">
    <w:name w:val="Unresolved Mention"/>
    <w:basedOn w:val="a0"/>
    <w:uiPriority w:val="99"/>
    <w:semiHidden/>
    <w:unhideWhenUsed/>
    <w:rsid w:val="00B63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finance.yahoo.co.j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ronexus.co.jp/solution/database/eo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nikkeimm.co.jp/service/detail/id=3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inance.yahoo.co.jp/" TargetMode="External"/><Relationship Id="rId1" Type="http://schemas.openxmlformats.org/officeDocument/2006/relationships/hyperlink" Target="https://www.pronexus.co.jp/solution/database/eol.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BF13-07C2-419F-80C7-FE2F4ECF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20</Pages>
  <Words>1878</Words>
  <Characters>10707</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直樹 宍戸</dc:creator>
  <cp:keywords/>
  <dc:description/>
  <cp:lastModifiedBy>直樹 宍戸</cp:lastModifiedBy>
  <cp:revision>5</cp:revision>
  <cp:lastPrinted>2024-08-05T07:25:00Z</cp:lastPrinted>
  <dcterms:created xsi:type="dcterms:W3CDTF">2024-08-05T06:43:00Z</dcterms:created>
  <dcterms:modified xsi:type="dcterms:W3CDTF">2024-12-21T02:04:00Z</dcterms:modified>
</cp:coreProperties>
</file>