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7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ходе выполнения лабораторной работы в среде Cisco Packet Tracer была выполнена настройка физической структуры сети с использованием физической рабочей области. Произведена организация городской инфраструктуры, размещение зданий, серверных помещений и сетевого оборудования, а также проверка сетевой связности между узлами.</w:t>
      </w:r>
    </w:p>
    <w:bookmarkStart w:id="27" w:name="схема-физического-уровня-город-и-зд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Схема физического уровня (город и здания)</w:t>
      </w:r>
    </w:p>
    <w:p>
      <w:pPr>
        <w:pStyle w:val="FirstParagraph"/>
      </w:pPr>
      <w:r>
        <w:t xml:space="preserve">На первом этапе в физической рабочей области проекту был присвоен уровень города с названием Moscow. Внутри города были размещены здания, соответствующие различным площадкам сети.</w:t>
      </w:r>
    </w:p>
    <w:p>
      <w:pPr>
        <w:pStyle w:val="BodyText"/>
      </w:pPr>
      <w:r>
        <w:t xml:space="preserve">Одному из зданий было присвоено имя Donskaya, после чего дополнительно было создано здание Pavlovskaya для размещения удалённого сегмента сети.</w:t>
      </w:r>
    </w:p>
    <w:p>
      <w:pPr>
        <w:pStyle w:val="CaptionedFigure"/>
      </w:pPr>
      <w:r>
        <w:drawing>
          <wp:inline>
            <wp:extent cx="5334000" cy="3835131"/>
            <wp:effectExtent b="0" l="0" r="0" t="0"/>
            <wp:docPr descr="Схема города и зданий (Moscow, Donskaya, Pavlovskaya)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города и зданий (Moscow, Donskaya, Pavlovskaya)</w:t>
      </w:r>
    </w:p>
    <w:p>
      <w:pPr>
        <w:pStyle w:val="BodyText"/>
      </w:pPr>
      <w:r>
        <w:t xml:space="preserve">В городской структуре были размещены два здания — Donskaya и Pavlovskaya, между которыми организовано соединение. Это отражает распределённую архитектуру сети с несколькими физическими локациями.</w:t>
      </w:r>
    </w:p>
    <w:p>
      <w:pPr>
        <w:pStyle w:val="CaptionedFigure"/>
      </w:pPr>
      <w:r>
        <w:drawing>
          <wp:inline>
            <wp:extent cx="5334000" cy="2894319"/>
            <wp:effectExtent b="0" l="0" r="0" t="0"/>
            <wp:docPr descr="Связь между зданиями Donskaya и Pavlovskaya" title="" id="25" name="Picture"/>
            <a:graphic>
              <a:graphicData uri="http://schemas.openxmlformats.org/drawingml/2006/picture">
                <pic:pic>
                  <pic:nvPicPr>
                    <pic:cNvPr descr="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между зданиями Donskaya и Pavlovskaya</w:t>
      </w:r>
    </w:p>
    <w:bookmarkEnd w:id="27"/>
    <w:bookmarkStart w:id="34" w:name="размещение-серверного-помещ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Размещение серверного помещения</w:t>
      </w:r>
    </w:p>
    <w:p>
      <w:pPr>
        <w:pStyle w:val="FirstParagraph"/>
      </w:pPr>
      <w:r>
        <w:t xml:space="preserve">Внутри здания Donskaya было размещено серверное помещение. В серверной расположено активное сетевое оборудование и оконечные устройства, подключённые к центральному коммутатору.</w:t>
      </w:r>
    </w:p>
    <w:p>
      <w:pPr>
        <w:pStyle w:val="CaptionedFigure"/>
      </w:pPr>
      <w:r>
        <w:drawing>
          <wp:inline>
            <wp:extent cx="5334000" cy="3051459"/>
            <wp:effectExtent b="0" l="0" r="0" t="0"/>
            <wp:docPr descr="Серверное помещение и подключение устройств" title="" id="29" name="Picture"/>
            <a:graphic>
              <a:graphicData uri="http://schemas.openxmlformats.org/drawingml/2006/picture">
                <pic:pic>
                  <pic:nvPicPr>
                    <pic:cNvPr descr="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Серверное помещение и подключение устройств</w:t>
      </w:r>
    </w:p>
    <w:p>
      <w:pPr>
        <w:pStyle w:val="BodyText"/>
      </w:pPr>
      <w:r>
        <w:t xml:space="preserve">В серверной была сформирована стойка с оборудованием, включающая несколько коммутаторов:</w:t>
      </w:r>
    </w:p>
    <w:p>
      <w:pPr>
        <w:numPr>
          <w:ilvl w:val="0"/>
          <w:numId w:val="1001"/>
        </w:numPr>
        <w:pStyle w:val="Compact"/>
      </w:pPr>
      <w:r>
        <w:t xml:space="preserve">msk-donskaya-irkolontirskiy-sw-1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msk-donskaya-irkolontirskiy-sw-2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msk-donskaya-irkolontirskiy-sw-3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msk-donskaya-irkolontirskiy-sw-4</w:t>
      </w:r>
    </w:p>
    <w:p>
      <w:pPr>
        <w:pStyle w:val="FirstParagraph"/>
      </w:pPr>
      <w:r>
        <w:t xml:space="preserve">Также в стойке присутствует устройство распределения питания (Power Distribution Device). Коммутаторы соединены между собой и с внешними сегментами сети.</w:t>
      </w:r>
    </w:p>
    <w:p>
      <w:pPr>
        <w:pStyle w:val="CaptionedFigure"/>
      </w:pPr>
      <w:r>
        <w:drawing>
          <wp:inline>
            <wp:extent cx="3757492" cy="4741048"/>
            <wp:effectExtent b="0" l="0" r="0" t="0"/>
            <wp:docPr descr="Серверная стойка с оборудованием" title="" id="32" name="Picture"/>
            <a:graphic>
              <a:graphicData uri="http://schemas.openxmlformats.org/drawingml/2006/picture">
                <pic:pic>
                  <pic:nvPicPr>
                    <pic:cNvPr descr="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92" cy="4741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Серверная стойка с оборудованием</w:t>
      </w:r>
    </w:p>
    <w:bookmarkEnd w:id="34"/>
    <w:bookmarkStart w:id="41" w:name="размещение-оборудования-в-pavlovskay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Размещение оборудования в Pavlovskaya</w:t>
      </w:r>
    </w:p>
    <w:p>
      <w:pPr>
        <w:pStyle w:val="FirstParagraph"/>
      </w:pPr>
      <w:r>
        <w:t xml:space="preserve">В здании Pavlovskaya был размещён коммутатор msk-pavlovskaya-irkolontirskiy-sw-1, а также два оконечных устройства:</w:t>
      </w:r>
    </w:p>
    <w:p>
      <w:pPr>
        <w:numPr>
          <w:ilvl w:val="0"/>
          <w:numId w:val="1002"/>
        </w:numPr>
        <w:pStyle w:val="Compact"/>
      </w:pPr>
      <w:r>
        <w:t xml:space="preserve">dk-pavlovskaya-1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other-pavlovskaya-1</w:t>
      </w:r>
    </w:p>
    <w:p>
      <w:pPr>
        <w:pStyle w:val="FirstParagraph"/>
      </w:pPr>
      <w:r>
        <w:t xml:space="preserve">Все устройства подключены к коммутатору и интегрированы в общую сеть.</w:t>
      </w:r>
    </w:p>
    <w:p>
      <w:pPr>
        <w:pStyle w:val="CaptionedFigure"/>
      </w:pPr>
      <w:r>
        <w:drawing>
          <wp:inline>
            <wp:extent cx="5334000" cy="3395546"/>
            <wp:effectExtent b="0" l="0" r="0" t="0"/>
            <wp:docPr descr="Оборудование в здании Pavlovskaya" title="" id="36" name="Picture"/>
            <a:graphic>
              <a:graphicData uri="http://schemas.openxmlformats.org/drawingml/2006/picture">
                <pic:pic>
                  <pic:nvPicPr>
                    <pic:cNvPr descr="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в здании Pavlovskaya</w:t>
      </w:r>
    </w:p>
    <w:p>
      <w:pPr>
        <w:pStyle w:val="BodyText"/>
      </w:pPr>
      <w:r>
        <w:t xml:space="preserve">В серверной Pavlovskaya размещена стойка с коммутатором и системой питания, обеспечивающая функционирование локального сегмента сети.</w:t>
      </w:r>
    </w:p>
    <w:p>
      <w:pPr>
        <w:pStyle w:val="CaptionedFigure"/>
      </w:pPr>
      <w:r>
        <w:drawing>
          <wp:inline>
            <wp:extent cx="3557707" cy="2236053"/>
            <wp:effectExtent b="0" l="0" r="0" t="0"/>
            <wp:docPr descr="Серверная стойка Pavlovskaya" title="" id="39" name="Picture"/>
            <a:graphic>
              <a:graphicData uri="http://schemas.openxmlformats.org/drawingml/2006/picture">
                <pic:pic>
                  <pic:nvPicPr>
                    <pic:cNvPr descr="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707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Серверная стойка Pavlovskaya</w:t>
      </w:r>
    </w:p>
    <w:bookmarkEnd w:id="41"/>
    <w:bookmarkStart w:id="45" w:name="проверка-сетевой-связност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После завершения физического размещения оборудования была выполнена проверка связности между коммутаторами.</w:t>
      </w:r>
    </w:p>
    <w:p>
      <w:pPr>
        <w:pStyle w:val="BodyText"/>
      </w:pPr>
      <w:r>
        <w:t xml:space="preserve">С коммутатора msk-donskaya-sw-1 был отправлен ICMP-запрос (ping) на коммутатор msk-pavlovskaya-sw-1 с IP-адресом 10.128.1.6.</w:t>
      </w:r>
    </w:p>
    <w:p>
      <w:pPr>
        <w:pStyle w:val="BodyText"/>
      </w:pPr>
      <w:r>
        <w:t xml:space="preserve">Результат проверки показал:</w:t>
      </w:r>
    </w:p>
    <w:p>
      <w:pPr>
        <w:numPr>
          <w:ilvl w:val="0"/>
          <w:numId w:val="1003"/>
        </w:numPr>
        <w:pStyle w:val="Compact"/>
      </w:pPr>
      <w:r>
        <w:t xml:space="preserve">все 5 пакетов успешно доставлены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потерь нет (0%)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задержка минимальная</w:t>
      </w:r>
    </w:p>
    <w:p>
      <w:pPr>
        <w:pStyle w:val="FirstParagraph"/>
      </w:pPr>
      <w:r>
        <w:t xml:space="preserve">Это подтверждает корректную настройку сети и работоспособность соединения между площадками.</w:t>
      </w:r>
    </w:p>
    <w:p>
      <w:pPr>
        <w:pStyle w:val="CaptionedFigure"/>
      </w:pPr>
      <w:r>
        <w:drawing>
          <wp:inline>
            <wp:extent cx="4986937" cy="1160289"/>
            <wp:effectExtent b="0" l="0" r="0" t="0"/>
            <wp:docPr descr="Результат выполнения команды ping" title="" id="43" name="Picture"/>
            <a:graphic>
              <a:graphicData uri="http://schemas.openxmlformats.org/drawingml/2006/picture">
                <pic:pic>
                  <pic:nvPicPr>
                    <pic:cNvPr descr="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937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команды ping</w:t>
      </w:r>
    </w:p>
    <w:bookmarkEnd w:id="45"/>
    <w:bookmarkStart w:id="55" w:name="учет-длины-кабел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Учет длины кабеля</w:t>
      </w:r>
    </w:p>
    <w:p>
      <w:pPr>
        <w:pStyle w:val="FirstParagraph"/>
      </w:pPr>
      <w:r>
        <w:t xml:space="preserve">В настройках среды Packet Tracer была активирована опция учета физических характеристик среды передачи (Enable Cable Length Effects). После этого в физической рабочей области расстояние между зданиями Donskaya и Pavlovskaya было увеличено до значения более 100 метров (около 750+ метров).</w:t>
      </w:r>
    </w:p>
    <w:p>
      <w:pPr>
        <w:pStyle w:val="CaptionedFigure"/>
      </w:pPr>
      <w:r>
        <w:drawing>
          <wp:inline>
            <wp:extent cx="5334000" cy="2898797"/>
            <wp:effectExtent b="0" l="0" r="0" t="0"/>
            <wp:docPr descr="логическая схема сети" title="" id="47" name="Picture"/>
            <a:graphic>
              <a:graphicData uri="http://schemas.openxmlformats.org/drawingml/2006/picture">
                <pic:pic>
                  <pic:nvPicPr>
                    <pic:cNvPr descr="0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логическая схема сети</w:t>
      </w:r>
    </w:p>
    <w:p>
      <w:pPr>
        <w:pStyle w:val="CaptionedFigure"/>
      </w:pPr>
      <w:r>
        <w:drawing>
          <wp:inline>
            <wp:extent cx="5334000" cy="1919219"/>
            <wp:effectExtent b="0" l="0" r="0" t="0"/>
            <wp:docPr descr="Расстояние между площадками более 100 метров" title="" id="50" name="Picture"/>
            <a:graphic>
              <a:graphicData uri="http://schemas.openxmlformats.org/drawingml/2006/picture">
                <pic:pic>
                  <pic:nvPicPr>
                    <pic:cNvPr descr="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Расстояние между площадками более 100 метров</w:t>
      </w:r>
    </w:p>
    <w:p>
      <w:pPr>
        <w:pStyle w:val="BodyText"/>
      </w:pPr>
      <w:r>
        <w:t xml:space="preserve">После увеличения расстояния была выполнена проверка соединения с помощью команды ping с коммутатора msk-donskaya-sw-1 на msk-pavlovskaya-sw-1.</w:t>
      </w:r>
    </w:p>
    <w:p>
      <w:pPr>
        <w:pStyle w:val="BodyText"/>
      </w:pPr>
      <w:r>
        <w:t xml:space="preserve">Результат показал:</w:t>
      </w:r>
    </w:p>
    <w:p>
      <w:pPr>
        <w:numPr>
          <w:ilvl w:val="0"/>
          <w:numId w:val="1004"/>
        </w:numPr>
        <w:pStyle w:val="Compact"/>
      </w:pPr>
      <w:r>
        <w:t xml:space="preserve">пакеты не доставляются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уровень успешности — 0%</w:t>
      </w:r>
    </w:p>
    <w:p>
      <w:pPr>
        <w:pStyle w:val="FirstParagraph"/>
      </w:pPr>
      <w:r>
        <w:t xml:space="preserve">Это свидетельствует о том, что при превышении допустимой длины сегмента витой пары соединение становится неработоспособным.</w:t>
      </w:r>
    </w:p>
    <w:p>
      <w:pPr>
        <w:pStyle w:val="CaptionedFigure"/>
      </w:pPr>
      <w:r>
        <w:drawing>
          <wp:inline>
            <wp:extent cx="4902413" cy="1198709"/>
            <wp:effectExtent b="0" l="0" r="0" t="0"/>
            <wp:docPr descr="Результат ping при превышении длины кабеля" title="" id="53" name="Picture"/>
            <a:graphic>
              <a:graphicData uri="http://schemas.openxmlformats.org/drawingml/2006/picture">
                <pic:pic>
                  <pic:nvPicPr>
                    <pic:cNvPr descr="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413" cy="119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ping при превышении длины кабеля</w:t>
      </w:r>
    </w:p>
    <w:bookmarkEnd w:id="55"/>
    <w:bookmarkStart w:id="68" w:name="использование-повторителей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Использование повторителей</w:t>
      </w:r>
    </w:p>
    <w:p>
      <w:pPr>
        <w:pStyle w:val="FirstParagraph"/>
      </w:pPr>
      <w:r>
        <w:t xml:space="preserve">Для решения проблемы было принято решение использовать повторители (RepeaterPT), обеспечивающие восстановление сигнала.</w:t>
      </w:r>
    </w:p>
    <w:p>
      <w:pPr>
        <w:pStyle w:val="BodyText"/>
      </w:pPr>
      <w:r>
        <w:t xml:space="preserve">Были добавлены два устройства:</w:t>
      </w:r>
    </w:p>
    <w:p>
      <w:pPr>
        <w:numPr>
          <w:ilvl w:val="0"/>
          <w:numId w:val="1005"/>
        </w:numPr>
        <w:pStyle w:val="Compact"/>
      </w:pPr>
      <w:r>
        <w:t xml:space="preserve">msk-donskaya-mc-1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msk-pavlovskaya-mc-1</w:t>
      </w:r>
    </w:p>
    <w:p>
      <w:pPr>
        <w:pStyle w:val="FirstParagraph"/>
      </w:pPr>
      <w:r>
        <w:t xml:space="preserve">На повторителях установлены модули:</w:t>
      </w:r>
    </w:p>
    <w:p>
      <w:pPr>
        <w:numPr>
          <w:ilvl w:val="0"/>
          <w:numId w:val="1006"/>
        </w:numPr>
        <w:pStyle w:val="Compact"/>
      </w:pPr>
      <w:r>
        <w:t xml:space="preserve">PT-REPEATERNM-1FFE (для оптоволокна)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PT-REPEATER-NM-1CFE (для витой пары Fast Ethernet)</w:t>
      </w:r>
    </w:p>
    <w:p>
      <w:pPr>
        <w:pStyle w:val="CaptionedFigure"/>
      </w:pPr>
      <w:r>
        <w:drawing>
          <wp:inline>
            <wp:extent cx="3065929" cy="1882588"/>
            <wp:effectExtent b="0" l="0" r="0" t="0"/>
            <wp:docPr descr="Устройство повторителя" title="" id="57" name="Picture"/>
            <a:graphic>
              <a:graphicData uri="http://schemas.openxmlformats.org/drawingml/2006/picture">
                <pic:pic>
                  <pic:nvPicPr>
                    <pic:cNvPr descr="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929" cy="188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Устройство повторителя</w:t>
      </w:r>
    </w:p>
    <w:p>
      <w:pPr>
        <w:pStyle w:val="BodyText"/>
      </w:pPr>
      <w:r>
        <w:t xml:space="preserve">Повторитель msk-donskaya-mc-1 был размещён в серверной стойке здания Donskaya, а msk-pavlovskaya-mc-1 — в здании Pavlovskaya.</w:t>
      </w:r>
    </w:p>
    <w:p>
      <w:pPr>
        <w:pStyle w:val="CaptionedFigure"/>
      </w:pPr>
      <w:r>
        <w:drawing>
          <wp:inline>
            <wp:extent cx="3703704" cy="3941909"/>
            <wp:effectExtent b="0" l="0" r="0" t="0"/>
            <wp:docPr descr="Размещение повторителя в Donskaya" title="" id="60" name="Picture"/>
            <a:graphic>
              <a:graphicData uri="http://schemas.openxmlformats.org/drawingml/2006/picture">
                <pic:pic>
                  <pic:nvPicPr>
                    <pic:cNvPr descr="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394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повторителя в Donskaya</w:t>
      </w:r>
    </w:p>
    <w:p>
      <w:pPr>
        <w:pStyle w:val="CaptionedFigure"/>
      </w:pPr>
      <w:r>
        <w:drawing>
          <wp:inline>
            <wp:extent cx="3534655" cy="2389734"/>
            <wp:effectExtent b="0" l="0" r="0" t="0"/>
            <wp:docPr descr="Размещение повторителя в Pavlovskaya" title="" id="63" name="Picture"/>
            <a:graphic>
              <a:graphicData uri="http://schemas.openxmlformats.org/drawingml/2006/picture">
                <pic:pic>
                  <pic:nvPicPr>
                    <pic:cNvPr descr="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238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повторителя в Pavlovskaya</w:t>
      </w:r>
    </w:p>
    <w:p>
      <w:pPr>
        <w:pStyle w:val="BodyText"/>
      </w:pPr>
      <w:r>
        <w:t xml:space="preserve">После добавления повторителей соединение было перестроено:</w:t>
      </w:r>
    </w:p>
    <w:p>
      <w:pPr>
        <w:numPr>
          <w:ilvl w:val="0"/>
          <w:numId w:val="1007"/>
        </w:numPr>
        <w:pStyle w:val="Compact"/>
      </w:pPr>
      <w:r>
        <w:t xml:space="preserve">msk-donskaya-sw-1 → msk-donskaya-mc-1 (витая пара)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msk-donskaya-mc-1 → msk-pavlovskaya-mc-1 (оптоволокно)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msk-pavlovskaya-mc-1 → msk-pavlovskaya-sw-1 (витая пара)</w:t>
      </w:r>
    </w:p>
    <w:p>
      <w:pPr>
        <w:pStyle w:val="CaptionedFigure"/>
      </w:pPr>
      <w:r>
        <w:drawing>
          <wp:inline>
            <wp:extent cx="5334000" cy="3071591"/>
            <wp:effectExtent b="0" l="0" r="0" t="0"/>
            <wp:docPr descr="Обновлённая логическая схема сети" title="" id="66" name="Picture"/>
            <a:graphic>
              <a:graphicData uri="http://schemas.openxmlformats.org/drawingml/2006/picture">
                <pic:pic>
                  <pic:nvPicPr>
                    <pic:cNvPr descr="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Обновлённая логическая схема сети</w:t>
      </w:r>
    </w:p>
    <w:bookmarkEnd w:id="68"/>
    <w:bookmarkStart w:id="72" w:name="Xf213fbadea815d708ee543b75dcac43e3ec5f53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работоспособности после модернизации</w:t>
      </w:r>
    </w:p>
    <w:p>
      <w:pPr>
        <w:pStyle w:val="FirstParagraph"/>
      </w:pPr>
      <w:r>
        <w:t xml:space="preserve">После внедрения повторителей была повторно выполнена проверка соединения с помощью ping.</w:t>
      </w:r>
    </w:p>
    <w:p>
      <w:pPr>
        <w:pStyle w:val="BodyText"/>
      </w:pPr>
      <w:r>
        <w:t xml:space="preserve">Результат показал:</w:t>
      </w:r>
    </w:p>
    <w:p>
      <w:pPr>
        <w:numPr>
          <w:ilvl w:val="0"/>
          <w:numId w:val="1008"/>
        </w:numPr>
        <w:pStyle w:val="Compact"/>
      </w:pPr>
      <w:r>
        <w:t xml:space="preserve">все пакеты успешно доставлены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уровень успешности — 100%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задержки минимальны</w:t>
      </w:r>
    </w:p>
    <w:p>
      <w:pPr>
        <w:pStyle w:val="FirstParagraph"/>
      </w:pPr>
      <w:r>
        <w:t xml:space="preserve">Это подтверждает, что использование повторителей и оптоволоконного сегмента позволило устранить ограничение по длине кабеля и восстановить работоспособность сети.</w:t>
      </w:r>
    </w:p>
    <w:p>
      <w:pPr>
        <w:pStyle w:val="CaptionedFigure"/>
      </w:pPr>
      <w:r>
        <w:drawing>
          <wp:inline>
            <wp:extent cx="5079146" cy="1206393"/>
            <wp:effectExtent b="0" l="0" r="0" t="0"/>
            <wp:docPr descr="Результат ping после добавления повторителей" title="" id="70" name="Picture"/>
            <a:graphic>
              <a:graphicData uri="http://schemas.openxmlformats.org/drawingml/2006/picture">
                <pic:pic>
                  <pic:nvPicPr>
                    <pic:cNvPr descr="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120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ping после добавления повторителей</w:t>
      </w:r>
    </w:p>
    <w:bookmarkEnd w:id="72"/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и продемонстрированы ограничения физической среды передачи данных, связанные с длиной кабельных линий, а также способы их преодоления.</w:t>
      </w:r>
    </w:p>
    <w:p>
      <w:pPr>
        <w:pStyle w:val="BodyText"/>
      </w:pPr>
      <w:r>
        <w:t xml:space="preserve">При увеличении расстояния между сегментами сети свыше допустимого для витой пары значения было зафиксировано нарушение связности между коммутаторами, что подтвердило влияние физических параметров среды передачи на работоспособность сети.</w:t>
      </w:r>
    </w:p>
    <w:p>
      <w:pPr>
        <w:pStyle w:val="BodyText"/>
      </w:pPr>
      <w:r>
        <w:t xml:space="preserve">Для устранения данной проблемы была реализована схема с использованием повторителей и оптоволоконного соединения. Это позволило:</w:t>
      </w:r>
    </w:p>
    <w:p>
      <w:pPr>
        <w:numPr>
          <w:ilvl w:val="0"/>
          <w:numId w:val="1009"/>
        </w:numPr>
        <w:pStyle w:val="Compact"/>
      </w:pPr>
      <w:r>
        <w:t xml:space="preserve">компенсировать затухание сигнала на больших расстояниях,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обеспечить корректную передачу данных между удалёнными площадками,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восстановить сетевую связность без изменения логической структуры сети.</w:t>
      </w:r>
    </w:p>
    <w:p>
      <w:pPr>
        <w:pStyle w:val="FirstParagraph"/>
      </w:pPr>
      <w:r>
        <w:t xml:space="preserve">После модернизации соединения была подтверждена полная работоспособность сети, что демонстрирует эффективность применения повторителей и оптоволоконных линий при построении распределённых сетевых инфраструктур.</w:t>
      </w:r>
    </w:p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  <w:pStyle w:val="Compact"/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FirstParagraph"/>
      </w:pPr>
      <w:r>
        <w:t xml:space="preserve">К основным средам передачи данных относятся:</w:t>
      </w:r>
      <w:r>
        <w:t xml:space="preserve"> </w:t>
      </w:r>
      <w:r>
        <w:t xml:space="preserve">- витая пара (медный кабель),</w:t>
      </w:r>
      <w:r>
        <w:t xml:space="preserve"> </w:t>
      </w:r>
      <w:r>
        <w:t xml:space="preserve">- коаксиальный кабель,</w:t>
      </w:r>
      <w:r>
        <w:t xml:space="preserve"> </w:t>
      </w:r>
      <w:r>
        <w:t xml:space="preserve">- оптоволоконный кабель,</w:t>
      </w:r>
      <w:r>
        <w:t xml:space="preserve"> </w:t>
      </w:r>
      <w:r>
        <w:t xml:space="preserve">- беспроводные среды (Wi-Fi, радиоканалы).</w:t>
      </w:r>
    </w:p>
    <w:p>
      <w:pPr>
        <w:pStyle w:val="BodyText"/>
      </w:pPr>
      <w:r>
        <w:t xml:space="preserve">При планировании сети необходимо учитывать следующие характеристики:</w:t>
      </w:r>
      <w:r>
        <w:t xml:space="preserve"> </w:t>
      </w:r>
      <w:r>
        <w:t xml:space="preserve">- максимальная длина сегмента,</w:t>
      </w:r>
      <w:r>
        <w:t xml:space="preserve"> </w:t>
      </w:r>
      <w:r>
        <w:t xml:space="preserve">- пропускная способность,</w:t>
      </w:r>
      <w:r>
        <w:t xml:space="preserve"> </w:t>
      </w:r>
      <w:r>
        <w:t xml:space="preserve">- уровень помехоустойчивости,</w:t>
      </w:r>
      <w:r>
        <w:t xml:space="preserve"> </w:t>
      </w:r>
      <w:r>
        <w:t xml:space="preserve">- затухание сигнала,</w:t>
      </w:r>
      <w:r>
        <w:t xml:space="preserve"> </w:t>
      </w:r>
      <w:r>
        <w:t xml:space="preserve">- стоимость прокладки и оборудования,</w:t>
      </w:r>
      <w:r>
        <w:t xml:space="preserve"> </w:t>
      </w:r>
      <w:r>
        <w:t xml:space="preserve">- условия эксплуатации (внутри помещения, на улице, наличие электромагнитных помех).</w:t>
      </w:r>
    </w:p>
    <w:p>
      <w:pPr>
        <w:numPr>
          <w:ilvl w:val="0"/>
          <w:numId w:val="1011"/>
        </w:numPr>
        <w:pStyle w:val="Compact"/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</w:p>
    <w:p>
      <w:pPr>
        <w:pStyle w:val="FirstParagraph"/>
      </w:pPr>
      <w:r>
        <w:t xml:space="preserve">Основные категории витой пары:</w:t>
      </w:r>
      <w:r>
        <w:t xml:space="preserve"> </w:t>
      </w:r>
      <w:r>
        <w:t xml:space="preserve">- Cat5 / Cat5e,</w:t>
      </w:r>
      <w:r>
        <w:t xml:space="preserve"> </w:t>
      </w:r>
      <w:r>
        <w:t xml:space="preserve">- Cat6,</w:t>
      </w:r>
      <w:r>
        <w:t xml:space="preserve"> </w:t>
      </w:r>
      <w:r>
        <w:t xml:space="preserve">- Cat6a,</w:t>
      </w:r>
      <w:r>
        <w:t xml:space="preserve"> </w:t>
      </w:r>
      <w:r>
        <w:t xml:space="preserve">- Cat7.</w:t>
      </w:r>
    </w:p>
    <w:p>
      <w:pPr>
        <w:pStyle w:val="BodyText"/>
      </w:pPr>
      <w:r>
        <w:t xml:space="preserve">Они отличаются:</w:t>
      </w:r>
      <w:r>
        <w:t xml:space="preserve"> </w:t>
      </w:r>
      <w:r>
        <w:t xml:space="preserve">- поддерживаемой скоростью передачи данных,</w:t>
      </w:r>
      <w:r>
        <w:t xml:space="preserve"> </w:t>
      </w:r>
      <w:r>
        <w:t xml:space="preserve">- рабочей частотой,</w:t>
      </w:r>
      <w:r>
        <w:t xml:space="preserve"> </w:t>
      </w:r>
      <w:r>
        <w:t xml:space="preserve">- уровнем экранирования,</w:t>
      </w:r>
      <w:r>
        <w:t xml:space="preserve"> </w:t>
      </w:r>
      <w:r>
        <w:t xml:space="preserve">- допустимой длиной линии при высокой скорости.</w:t>
      </w:r>
    </w:p>
    <w:p>
      <w:pPr>
        <w:pStyle w:val="BodyText"/>
      </w:pPr>
      <w:r>
        <w:t xml:space="preserve">Применение:</w:t>
      </w:r>
      <w:r>
        <w:t xml:space="preserve"> </w:t>
      </w:r>
      <w:r>
        <w:t xml:space="preserve">- Cat5e — до 1 Гбит/с, используется в небольших офисах и домашних сетях,</w:t>
      </w:r>
      <w:r>
        <w:t xml:space="preserve"> </w:t>
      </w:r>
      <w:r>
        <w:t xml:space="preserve">- Cat6 — до 1–10 Гбит/с на коротких расстояниях, подходит для корпоративных сетей,</w:t>
      </w:r>
      <w:r>
        <w:t xml:space="preserve"> </w:t>
      </w:r>
      <w:r>
        <w:t xml:space="preserve">- Cat6a — до 10 Гбит/с на расстоянии до 100 м, используется в современных сетях,</w:t>
      </w:r>
      <w:r>
        <w:t xml:space="preserve"> </w:t>
      </w:r>
      <w:r>
        <w:t xml:space="preserve">- Cat7 — повышенная защита от помех, применяется в условиях сильных электромагнитных воздействий.</w:t>
      </w:r>
    </w:p>
    <w:p>
      <w:pPr>
        <w:numPr>
          <w:ilvl w:val="0"/>
          <w:numId w:val="1012"/>
        </w:numPr>
        <w:pStyle w:val="Compact"/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FirstParagraph"/>
      </w:pPr>
      <w:r>
        <w:t xml:space="preserve">Одномодовое оптоволокно:</w:t>
      </w:r>
      <w:r>
        <w:t xml:space="preserve"> </w:t>
      </w:r>
      <w:r>
        <w:t xml:space="preserve">- передаёт один луч света,</w:t>
      </w:r>
      <w:r>
        <w:t xml:space="preserve"> </w:t>
      </w:r>
      <w:r>
        <w:t xml:space="preserve">- имеет малое затухание,</w:t>
      </w:r>
      <w:r>
        <w:t xml:space="preserve"> </w:t>
      </w:r>
      <w:r>
        <w:t xml:space="preserve">- обеспечивает передачу на большие расстояния (десятки километров),</w:t>
      </w:r>
      <w:r>
        <w:t xml:space="preserve"> </w:t>
      </w:r>
      <w:r>
        <w:t xml:space="preserve">- используется в магистральных и межзданийных соединениях.</w:t>
      </w:r>
    </w:p>
    <w:p>
      <w:pPr>
        <w:pStyle w:val="BodyText"/>
      </w:pPr>
      <w:r>
        <w:t xml:space="preserve">Многомодовое оптоволокно:</w:t>
      </w:r>
      <w:r>
        <w:t xml:space="preserve"> </w:t>
      </w:r>
      <w:r>
        <w:t xml:space="preserve">- передаёт несколько лучей света,</w:t>
      </w:r>
      <w:r>
        <w:t xml:space="preserve"> </w:t>
      </w:r>
      <w:r>
        <w:t xml:space="preserve">- имеет большее затухание и дисперсию,</w:t>
      </w:r>
      <w:r>
        <w:t xml:space="preserve"> </w:t>
      </w:r>
      <w:r>
        <w:t xml:space="preserve">- применяется на коротких расстояниях (до нескольких сотен метров),</w:t>
      </w:r>
      <w:r>
        <w:t xml:space="preserve"> </w:t>
      </w:r>
      <w:r>
        <w:t xml:space="preserve">- используется внутри зданий и дата-центров.</w:t>
      </w:r>
    </w:p>
    <w:p>
      <w:pPr>
        <w:numPr>
          <w:ilvl w:val="0"/>
          <w:numId w:val="1013"/>
        </w:numPr>
        <w:pStyle w:val="Compact"/>
      </w:pPr>
      <w:r>
        <w:t xml:space="preserve">Какие разъёмы встречаются на патчах оптоволокна? Чем они отличаются?</w:t>
      </w:r>
    </w:p>
    <w:p>
      <w:pPr>
        <w:pStyle w:val="FirstParagraph"/>
      </w:pPr>
      <w:r>
        <w:t xml:space="preserve">Наиболее распространённые типы разъёмов:</w:t>
      </w:r>
      <w:r>
        <w:t xml:space="preserve"> </w:t>
      </w:r>
      <w:r>
        <w:t xml:space="preserve">- SC,</w:t>
      </w:r>
      <w:r>
        <w:t xml:space="preserve"> </w:t>
      </w:r>
      <w:r>
        <w:t xml:space="preserve">- LC,</w:t>
      </w:r>
      <w:r>
        <w:t xml:space="preserve"> </w:t>
      </w:r>
      <w:r>
        <w:t xml:space="preserve">- ST,</w:t>
      </w:r>
      <w:r>
        <w:t xml:space="preserve"> </w:t>
      </w:r>
      <w:r>
        <w:t xml:space="preserve">- FC.</w:t>
      </w:r>
    </w:p>
    <w:p>
      <w:pPr>
        <w:pStyle w:val="BodyText"/>
      </w:pPr>
      <w:r>
        <w:t xml:space="preserve">Они отличаются:</w:t>
      </w:r>
      <w:r>
        <w:t xml:space="preserve"> </w:t>
      </w:r>
      <w:r>
        <w:t xml:space="preserve">- типом фиксации (защёлка, байонет, резьба),</w:t>
      </w:r>
      <w:r>
        <w:t xml:space="preserve"> </w:t>
      </w:r>
      <w:r>
        <w:t xml:space="preserve">- размером (LC — компактный, SC — стандартный),</w:t>
      </w:r>
      <w:r>
        <w:t xml:space="preserve"> </w:t>
      </w:r>
      <w:r>
        <w:t xml:space="preserve">- областью применения (ST — устаревающий, FC — промышленное применение),</w:t>
      </w:r>
      <w:r>
        <w:t xml:space="preserve"> </w:t>
      </w:r>
      <w:r>
        <w:t xml:space="preserve">- удобством подключения и плотностью размещения портов.</w:t>
      </w:r>
    </w:p>
    <w:p>
      <w:pPr>
        <w:pStyle w:val="BodyText"/>
      </w:pPr>
      <w:r>
        <w:t xml:space="preserve">LC-разъёмы чаще используются в современном оборудовании благодаря компактности, SC — в стандартных решениях, ST и FC — в специализированных или устаревших системах.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Илья Колонтырский</dc:creator>
  <dc:language>ru-RU</dc:language>
  <cp:keywords/>
  <dcterms:created xsi:type="dcterms:W3CDTF">2026-03-24T09:08:47Z</dcterms:created>
  <dcterms:modified xsi:type="dcterms:W3CDTF">2026-03-24T09:08:47Z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