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</w:t>
      </w:r>
    </w:p>
    <w:p>
      <w:pPr>
        <w:pStyle w:val="Author"/>
      </w:pPr>
      <w:r>
        <w:t xml:space="preserve">Колонтырский</w:t>
      </w:r>
      <w:r>
        <w:t xml:space="preserve"> </w:t>
      </w:r>
      <w:r>
        <w:t xml:space="preserve">Илья</w:t>
      </w:r>
      <w:r>
        <w:t xml:space="preserve"> </w:t>
      </w:r>
      <w:r>
        <w:t xml:space="preserve">Русланович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</w:t>
      </w:r>
    </w:p>
    <w:bookmarkEnd w:id="20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папку и файл lab9-1.asm (Рис. 2.1)</w:t>
      </w:r>
    </w:p>
    <w:p>
      <w:pPr>
        <w:pStyle w:val="CaptionedFigure"/>
      </w:pPr>
      <w:r>
        <w:drawing>
          <wp:inline>
            <wp:extent cx="5334000" cy="443023"/>
            <wp:effectExtent b="0" l="0" r="0" t="0"/>
            <wp:docPr descr="Создание папки и файла lab9-1.asm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и файла lab9-1.asm</w:t>
      </w:r>
    </w:p>
    <w:p>
      <w:pPr>
        <w:pStyle w:val="BodyText"/>
      </w:pPr>
      <w:r>
        <w:t xml:space="preserve">Вставим в файл lab9-1.asm предложенный код (Рис. 2.2)</w:t>
      </w:r>
    </w:p>
    <w:p>
      <w:pPr>
        <w:pStyle w:val="CaptionedFigure"/>
      </w:pPr>
      <w:r>
        <w:drawing>
          <wp:inline>
            <wp:extent cx="5334000" cy="4831906"/>
            <wp:effectExtent b="0" l="0" r="0" t="0"/>
            <wp:docPr descr="Вставка код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</w:t>
      </w:r>
    </w:p>
    <w:p>
      <w:pPr>
        <w:pStyle w:val="BodyText"/>
      </w:pPr>
      <w:r>
        <w:t xml:space="preserve">Скомпилируем программу и посмотрим на результат (Рис. 2.3)</w:t>
      </w:r>
    </w:p>
    <w:p>
      <w:pPr>
        <w:pStyle w:val="CaptionedFigure"/>
      </w:pPr>
      <w:r>
        <w:drawing>
          <wp:inline>
            <wp:extent cx="5334000" cy="838790"/>
            <wp:effectExtent b="0" l="0" r="0" t="0"/>
            <wp:docPr descr="Компиляция программы и запуск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программы и запуск</w:t>
      </w:r>
    </w:p>
    <w:p>
      <w:pPr>
        <w:pStyle w:val="BodyText"/>
      </w:pPr>
      <w:r>
        <w:t xml:space="preserve">Изменим программу, добавив подпрограмму, которая вычисляет g(x), после чего выводит результат вычисления f(g(x)) (Рис. 2.4)</w:t>
      </w:r>
    </w:p>
    <w:p>
      <w:pPr>
        <w:pStyle w:val="CaptionedFigure"/>
      </w:pPr>
      <w:r>
        <w:drawing>
          <wp:inline>
            <wp:extent cx="5334000" cy="6036930"/>
            <wp:effectExtent b="0" l="0" r="0" t="0"/>
            <wp:docPr descr="Изменение файла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6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BodyText"/>
      </w:pPr>
      <w:r>
        <w:t xml:space="preserve">Скомпилируем программу и посмотрим на результат (Рис. 2.5)</w:t>
      </w:r>
    </w:p>
    <w:p>
      <w:pPr>
        <w:pStyle w:val="CaptionedFigure"/>
      </w:pPr>
      <w:r>
        <w:drawing>
          <wp:inline>
            <wp:extent cx="5334000" cy="1317255"/>
            <wp:effectExtent b="0" l="0" r="0" t="0"/>
            <wp:docPr descr="Компиляция программы и повторный запуск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7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программы и повторный запуск</w:t>
      </w:r>
    </w:p>
    <w:p>
      <w:pPr>
        <w:pStyle w:val="BodyText"/>
      </w:pPr>
      <w:r>
        <w:t xml:space="preserve">Создадим ещё один файл (Рис. 2.6)</w:t>
      </w:r>
    </w:p>
    <w:p>
      <w:pPr>
        <w:pStyle w:val="CaptionedFigure"/>
      </w:pPr>
      <w:r>
        <w:drawing>
          <wp:inline>
            <wp:extent cx="5334000" cy="177209"/>
            <wp:effectExtent b="0" l="0" r="0" t="0"/>
            <wp:docPr descr="Создание файла lab9-2.asm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lab9-2.asm</w:t>
      </w:r>
    </w:p>
    <w:p>
      <w:pPr>
        <w:pStyle w:val="BodyText"/>
      </w:pPr>
      <w:r>
        <w:t xml:space="preserve">Вставим файл следующий код (Рис. 2.7)</w:t>
      </w:r>
    </w:p>
    <w:p>
      <w:pPr>
        <w:pStyle w:val="CaptionedFigure"/>
      </w:pPr>
      <w:r>
        <w:drawing>
          <wp:inline>
            <wp:extent cx="5334000" cy="3000744"/>
            <wp:effectExtent b="0" l="0" r="0" t="0"/>
            <wp:docPr descr="Вставка кода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</w:t>
      </w:r>
    </w:p>
    <w:p>
      <w:pPr>
        <w:pStyle w:val="BodyText"/>
      </w:pPr>
      <w:r>
        <w:t xml:space="preserve">Скомпилируем программу для отладки (с аргументом -g) и загрузим в gdb (Рис. 2.8)</w:t>
      </w:r>
    </w:p>
    <w:p>
      <w:pPr>
        <w:pStyle w:val="CaptionedFigure"/>
      </w:pPr>
      <w:r>
        <w:drawing>
          <wp:inline>
            <wp:extent cx="5334000" cy="697023"/>
            <wp:effectExtent b="0" l="0" r="0" t="0"/>
            <wp:docPr descr="Компиляция файла для отладки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для отладки</w:t>
      </w:r>
    </w:p>
    <w:p>
      <w:pPr>
        <w:pStyle w:val="BodyText"/>
      </w:pPr>
      <w:r>
        <w:t xml:space="preserve">В gdb запустим её с помощью run (Рис. 2.9)</w:t>
      </w:r>
    </w:p>
    <w:p>
      <w:pPr>
        <w:pStyle w:val="CaptionedFigure"/>
      </w:pPr>
      <w:r>
        <w:drawing>
          <wp:inline>
            <wp:extent cx="5334000" cy="2782186"/>
            <wp:effectExtent b="0" l="0" r="0" t="0"/>
            <wp:docPr descr="Запуск программы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На метке _start создадим брейкпоинт (Рис. 2.10)</w:t>
      </w:r>
    </w:p>
    <w:p>
      <w:pPr>
        <w:pStyle w:val="CaptionedFigure"/>
      </w:pPr>
      <w:r>
        <w:drawing>
          <wp:inline>
            <wp:extent cx="5334000" cy="1069162"/>
            <wp:effectExtent b="0" l="0" r="0" t="0"/>
            <wp:docPr descr="Создание брейкпоинта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9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брейкпоинта</w:t>
      </w:r>
    </w:p>
    <w:p>
      <w:pPr>
        <w:pStyle w:val="BodyText"/>
      </w:pPr>
      <w:r>
        <w:t xml:space="preserve">Теперь дизассемблируем программу (Рис. 2.11)</w:t>
      </w:r>
    </w:p>
    <w:p>
      <w:pPr>
        <w:pStyle w:val="CaptionedFigure"/>
      </w:pPr>
      <w:r>
        <w:drawing>
          <wp:inline>
            <wp:extent cx="5334000" cy="2250558"/>
            <wp:effectExtent b="0" l="0" r="0" t="0"/>
            <wp:docPr descr="Дизассемблирование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0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Дизассемблирование</w:t>
      </w:r>
    </w:p>
    <w:p>
      <w:pPr>
        <w:pStyle w:val="BodyText"/>
      </w:pPr>
      <w:r>
        <w:t xml:space="preserve">Теперь сделаем вывод на синтаксисе intel (Рис. 2.12)</w:t>
      </w:r>
    </w:p>
    <w:p>
      <w:pPr>
        <w:pStyle w:val="CaptionedFigure"/>
      </w:pPr>
      <w:r>
        <w:drawing>
          <wp:inline>
            <wp:extent cx="5334000" cy="2392325"/>
            <wp:effectExtent b="0" l="0" r="0" t="0"/>
            <wp:docPr descr="Включение синтаксиса intel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2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синтаксиса intel</w:t>
      </w:r>
    </w:p>
    <w:p>
      <w:pPr>
        <w:pStyle w:val="BodyText"/>
      </w:pPr>
      <w:r>
        <w:t xml:space="preserve">Включим отображения кода и регистров (Рис. 2.13)</w:t>
      </w:r>
    </w:p>
    <w:p>
      <w:pPr>
        <w:pStyle w:val="CaptionedFigure"/>
      </w:pPr>
      <w:r>
        <w:drawing>
          <wp:inline>
            <wp:extent cx="5334000" cy="295348"/>
            <wp:effectExtent b="0" l="0" r="0" t="0"/>
            <wp:docPr descr="Включение отображения кода и регистров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отображения кода и регистров</w:t>
      </w:r>
    </w:p>
    <w:p>
      <w:pPr>
        <w:pStyle w:val="BodyText"/>
      </w:pPr>
      <w:r>
        <w:t xml:space="preserve">Выведем инормацию о брейкпоинтах (Рис. 2.14)</w:t>
      </w:r>
    </w:p>
    <w:p>
      <w:pPr>
        <w:pStyle w:val="CaptionedFigure"/>
      </w:pPr>
      <w:r>
        <w:drawing>
          <wp:inline>
            <wp:extent cx="5334000" cy="685209"/>
            <wp:effectExtent b="0" l="0" r="0" t="0"/>
            <wp:docPr descr="Вывод информации о брейкпоинтах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информации о брейкпоинтах</w:t>
      </w:r>
    </w:p>
    <w:p>
      <w:pPr>
        <w:pStyle w:val="BodyText"/>
      </w:pPr>
      <w:r>
        <w:t xml:space="preserve">Теперь создадим брейкпоинт не по имени, а по адресу, а также выведем информацию обо всех брейкпоинтах (Рис. 2.15)</w:t>
      </w:r>
    </w:p>
    <w:p>
      <w:pPr>
        <w:pStyle w:val="CaptionedFigure"/>
      </w:pPr>
      <w:r>
        <w:drawing>
          <wp:inline>
            <wp:extent cx="5334000" cy="3662325"/>
            <wp:effectExtent b="0" l="0" r="0" t="0"/>
            <wp:docPr descr="Создание брейкпоинта по адресу и вывод информации о всех брейкпоинтах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2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брейкпоинта по адресу и вывод информации о всех брейкпоинтах</w:t>
      </w:r>
    </w:p>
    <w:p>
      <w:pPr>
        <w:pStyle w:val="BodyText"/>
      </w:pPr>
      <w:r>
        <w:t xml:space="preserve">Теперь выполним команду si 5 раз, выполнив тем самым последовательно 5 строчек кода (Рис. 2.16)</w:t>
      </w:r>
    </w:p>
    <w:p>
      <w:pPr>
        <w:pStyle w:val="CaptionedFigure"/>
      </w:pPr>
      <w:r>
        <w:drawing>
          <wp:inline>
            <wp:extent cx="5334000" cy="5912883"/>
            <wp:effectExtent b="0" l="0" r="0" t="0"/>
            <wp:docPr descr="Использование si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si</w:t>
      </w:r>
    </w:p>
    <w:p>
      <w:pPr>
        <w:pStyle w:val="BodyText"/>
      </w:pPr>
      <w:r>
        <w:t xml:space="preserve">За 5 строк поменялись значения eax, ecx, edx и ebx регистров. Выведем информацию о значениях регистров (Рис. 2.17)</w:t>
      </w:r>
    </w:p>
    <w:p>
      <w:pPr>
        <w:pStyle w:val="CaptionedFigure"/>
      </w:pPr>
      <w:r>
        <w:drawing>
          <wp:inline>
            <wp:extent cx="5334000" cy="1896139"/>
            <wp:effectExtent b="0" l="0" r="0" t="0"/>
            <wp:docPr descr="Вывод значений регистров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6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значений регистров</w:t>
      </w:r>
    </w:p>
    <w:p>
      <w:pPr>
        <w:pStyle w:val="BodyText"/>
      </w:pPr>
      <w:r>
        <w:t xml:space="preserve">Выведем значение переменной (Рис. 2.18)</w:t>
      </w:r>
    </w:p>
    <w:p>
      <w:pPr>
        <w:pStyle w:val="CaptionedFigure"/>
      </w:pPr>
      <w:r>
        <w:drawing>
          <wp:inline>
            <wp:extent cx="5334000" cy="307162"/>
            <wp:effectExtent b="0" l="0" r="0" t="0"/>
            <wp:docPr descr="Вывод переменной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переменной</w:t>
      </w:r>
    </w:p>
    <w:p>
      <w:pPr>
        <w:pStyle w:val="BodyText"/>
      </w:pPr>
      <w:r>
        <w:t xml:space="preserve">Выведем теперь значение переменной по адресу (Рис. 2.19)</w:t>
      </w:r>
    </w:p>
    <w:p>
      <w:pPr>
        <w:pStyle w:val="CaptionedFigure"/>
      </w:pPr>
      <w:r>
        <w:drawing>
          <wp:inline>
            <wp:extent cx="5334000" cy="307162"/>
            <wp:effectExtent b="0" l="0" r="0" t="0"/>
            <wp:docPr descr="Вывод переменной по адресу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переменной по адресу</w:t>
      </w:r>
    </w:p>
    <w:p>
      <w:pPr>
        <w:pStyle w:val="BodyText"/>
      </w:pPr>
      <w:r>
        <w:t xml:space="preserve">Изменим значение переменной и выведем его (Рис. 2.20)</w:t>
      </w:r>
    </w:p>
    <w:p>
      <w:pPr>
        <w:pStyle w:val="CaptionedFigure"/>
      </w:pPr>
      <w:r>
        <w:drawing>
          <wp:inline>
            <wp:extent cx="5334000" cy="425302"/>
            <wp:effectExtent b="0" l="0" r="0" t="0"/>
            <wp:docPr descr="Изменение переменной и вывод значения" title="fig: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переменной и вывод значения</w:t>
      </w:r>
    </w:p>
    <w:p>
      <w:pPr>
        <w:pStyle w:val="BodyText"/>
      </w:pPr>
      <w:r>
        <w:t xml:space="preserve">Изменим вторую переменную и выведем её (Рис. 2.21)</w:t>
      </w:r>
    </w:p>
    <w:p>
      <w:pPr>
        <w:pStyle w:val="CaptionedFigure"/>
      </w:pPr>
      <w:r>
        <w:drawing>
          <wp:inline>
            <wp:extent cx="5334000" cy="425302"/>
            <wp:effectExtent b="0" l="0" r="0" t="0"/>
            <wp:docPr descr="Изменение второй переменной и вывод значения" title="fig: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второй переменной и вывод значения</w:t>
      </w:r>
    </w:p>
    <w:p>
      <w:pPr>
        <w:pStyle w:val="BodyText"/>
      </w:pPr>
      <w:r>
        <w:t xml:space="preserve">Выведем значение регистра edx в строковом, двоичном, шестнадцатиричном видах (Рис. 2.22)</w:t>
      </w:r>
    </w:p>
    <w:p>
      <w:pPr>
        <w:pStyle w:val="CaptionedFigure"/>
      </w:pPr>
      <w:r>
        <w:drawing>
          <wp:inline>
            <wp:extent cx="5334000" cy="838790"/>
            <wp:effectExtent b="0" l="0" r="0" t="0"/>
            <wp:docPr descr="Вывод значения регистра" title="fig: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</w:t>
      </w:r>
    </w:p>
    <w:p>
      <w:pPr>
        <w:pStyle w:val="BodyText"/>
      </w:pPr>
      <w:r>
        <w:t xml:space="preserve">Изменим теперь значение регистра (Рис. 2.23)</w:t>
      </w:r>
    </w:p>
    <w:p>
      <w:pPr>
        <w:pStyle w:val="CaptionedFigure"/>
      </w:pPr>
      <w:r>
        <w:drawing>
          <wp:inline>
            <wp:extent cx="5334000" cy="838790"/>
            <wp:effectExtent b="0" l="0" r="0" t="0"/>
            <wp:docPr descr="Изменение регистра" title="fig: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регистра</w:t>
      </w:r>
    </w:p>
    <w:p>
      <w:pPr>
        <w:pStyle w:val="BodyText"/>
      </w:pPr>
      <w:r>
        <w:t xml:space="preserve">Мы записали в регистр 2 разных значения. В первом случае это строка, а во втором - число. Выйдем из отладчика и скопируем файл из прошлой работы, соберм его и вгрузим в отладчик (Рис. 2.24)</w:t>
      </w:r>
    </w:p>
    <w:p>
      <w:pPr>
        <w:pStyle w:val="CaptionedFigure"/>
      </w:pPr>
      <w:r>
        <w:drawing>
          <wp:inline>
            <wp:extent cx="5334000" cy="1051441"/>
            <wp:effectExtent b="0" l="0" r="0" t="0"/>
            <wp:docPr descr="Копирование файла из прошлой работы и выгрузка в gdb" title="fig: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1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из прошлой работы и выгрузка в gdb</w:t>
      </w:r>
    </w:p>
    <w:p>
      <w:pPr>
        <w:pStyle w:val="BodyText"/>
      </w:pPr>
      <w:r>
        <w:t xml:space="preserve">Создадим брейкпоинт и запустим его, после чего выведем значение регистра esp (Рис. 2.25)</w:t>
      </w:r>
    </w:p>
    <w:p>
      <w:pPr>
        <w:pStyle w:val="CaptionedFigure"/>
      </w:pPr>
      <w:r>
        <w:drawing>
          <wp:inline>
            <wp:extent cx="5334000" cy="1464930"/>
            <wp:effectExtent b="0" l="0" r="0" t="0"/>
            <wp:docPr descr="Создание брейкпоинта и запуск, вывод значения esp" title="fig: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брейкпоинта и запуск, вывод значения esp</w:t>
      </w:r>
    </w:p>
    <w:p>
      <w:pPr>
        <w:pStyle w:val="BodyText"/>
      </w:pPr>
      <w:r>
        <w:t xml:space="preserve">Выведем значение элементов стека (Рис. 2.26)</w:t>
      </w:r>
    </w:p>
    <w:p>
      <w:pPr>
        <w:pStyle w:val="CaptionedFigure"/>
      </w:pPr>
      <w:r>
        <w:drawing>
          <wp:inline>
            <wp:extent cx="5334000" cy="1724837"/>
            <wp:effectExtent b="0" l="0" r="0" t="0"/>
            <wp:docPr descr="Вывод всех значений в стеке" title="fig: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4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всех значений в стеке</w:t>
      </w:r>
    </w:p>
    <w:p>
      <w:pPr>
        <w:pStyle w:val="BodyText"/>
      </w:pPr>
      <w:r>
        <w:t xml:space="preserve">Поскольку под каждый элемент стека выделяется 4 байта, мы должны выводить элементы с шагом в 4</w:t>
      </w:r>
    </w:p>
    <w:p>
      <w:pPr>
        <w:pStyle w:val="BodyText"/>
      </w:pPr>
      <w:r>
        <w:t xml:space="preserve">Самостоятельная работа</w:t>
      </w:r>
    </w:p>
    <w:p>
      <w:pPr>
        <w:pStyle w:val="BodyText"/>
      </w:pPr>
      <w:r>
        <w:t xml:space="preserve">Создадим файлы для самостоятельной работы (Рис. 2.27)</w:t>
      </w:r>
    </w:p>
    <w:p>
      <w:pPr>
        <w:pStyle w:val="CaptionedFigure"/>
      </w:pPr>
      <w:r>
        <w:drawing>
          <wp:inline>
            <wp:extent cx="5334000" cy="389860"/>
            <wp:effectExtent b="0" l="0" r="0" t="0"/>
            <wp:docPr descr="Создание файлов" title="fig: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</w:t>
      </w:r>
    </w:p>
    <w:p>
      <w:pPr>
        <w:pStyle w:val="BodyText"/>
      </w:pPr>
      <w:r>
        <w:t xml:space="preserve">В первом файле нам нужно переписать файл первой самостоятельной работы прошлой лабораторной работы с использованием подпрограмм (Рис. 2.28)</w:t>
      </w:r>
    </w:p>
    <w:p>
      <w:pPr>
        <w:pStyle w:val="CaptionedFigure"/>
      </w:pPr>
      <w:r>
        <w:drawing>
          <wp:inline>
            <wp:extent cx="5334000" cy="4418418"/>
            <wp:effectExtent b="0" l="0" r="0" t="0"/>
            <wp:docPr descr="Редактирование программы" title="fig: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программы</w:t>
      </w:r>
    </w:p>
    <w:p>
      <w:pPr>
        <w:pStyle w:val="BodyText"/>
      </w:pPr>
      <w:r>
        <w:t xml:space="preserve">Скомпилируем файл и проверим его работу (Рис. 2.29)</w:t>
      </w:r>
    </w:p>
    <w:p>
      <w:pPr>
        <w:pStyle w:val="CaptionedFigure"/>
      </w:pPr>
      <w:r>
        <w:drawing>
          <wp:inline>
            <wp:extent cx="5334000" cy="956930"/>
            <wp:effectExtent b="0" l="0" r="0" t="0"/>
            <wp:docPr descr="Сборка и проверка работы программы" title="fig: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6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проверка работы программы</w:t>
      </w:r>
    </w:p>
    <w:p>
      <w:pPr>
        <w:pStyle w:val="BodyText"/>
      </w:pPr>
      <w:r>
        <w:t xml:space="preserve">Вставим во второй код предложенный код (Рис. 2.30)</w:t>
      </w:r>
    </w:p>
    <w:p>
      <w:pPr>
        <w:pStyle w:val="CaptionedFigure"/>
      </w:pPr>
      <w:r>
        <w:drawing>
          <wp:inline>
            <wp:extent cx="5334000" cy="2823534"/>
            <wp:effectExtent b="0" l="0" r="0" t="0"/>
            <wp:docPr descr="Вставка кода" title="fig: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</w:t>
      </w:r>
    </w:p>
    <w:p>
      <w:pPr>
        <w:pStyle w:val="BodyText"/>
      </w:pPr>
      <w:r>
        <w:t xml:space="preserve">Соберём его и вставим в gdb (Рис. 2.31)</w:t>
      </w:r>
    </w:p>
    <w:p>
      <w:pPr>
        <w:pStyle w:val="CaptionedFigure"/>
      </w:pPr>
      <w:r>
        <w:drawing>
          <wp:inline>
            <wp:extent cx="5334000" cy="549348"/>
            <wp:effectExtent b="0" l="0" r="0" t="0"/>
            <wp:docPr descr="Сборка программы и вгрузка в gdb" title="fig: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 вгрузка в gdb</w:t>
      </w:r>
    </w:p>
    <w:p>
      <w:pPr>
        <w:pStyle w:val="BodyText"/>
      </w:pPr>
      <w:r>
        <w:t xml:space="preserve">Начнём построчно выполнять код (Рис. 2.32):</w:t>
      </w:r>
    </w:p>
    <w:p>
      <w:pPr>
        <w:pStyle w:val="CaptionedFigure"/>
      </w:pPr>
      <w:r>
        <w:drawing>
          <wp:inline>
            <wp:extent cx="5334000" cy="6414976"/>
            <wp:effectExtent b="0" l="0" r="0" t="0"/>
            <wp:docPr descr="Построчное выполнение кода" title="fig: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4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Построчное выполнение кода</w:t>
      </w:r>
    </w:p>
    <w:p>
      <w:pPr>
        <w:pStyle w:val="BodyText"/>
      </w:pPr>
      <w:r>
        <w:t xml:space="preserve">Видно, что при умножении результат сохраняется в eax, хотя кодом подразумавается сохранение в ebx. Запустим код и убедимся, что он работает неверно (Рис. 3.33)</w:t>
      </w:r>
    </w:p>
    <w:p>
      <w:pPr>
        <w:pStyle w:val="CaptionedFigure"/>
      </w:pPr>
      <w:r>
        <w:drawing>
          <wp:inline>
            <wp:extent cx="5334000" cy="431209"/>
            <wp:effectExtent b="0" l="0" r="0" t="0"/>
            <wp:docPr descr="Проверка программы" title="fig: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программы</w:t>
      </w:r>
    </w:p>
    <w:p>
      <w:pPr>
        <w:pStyle w:val="BodyText"/>
      </w:pPr>
      <w:r>
        <w:t xml:space="preserve">Изменим его так, чтобы умножалось нужное нам значение, а не то, что хранится в регистре eax изначально (Рис. 2.24)</w:t>
      </w:r>
    </w:p>
    <w:p>
      <w:pPr>
        <w:pStyle w:val="CaptionedFigure"/>
      </w:pPr>
      <w:r>
        <w:drawing>
          <wp:inline>
            <wp:extent cx="5334000" cy="2870790"/>
            <wp:effectExtent b="0" l="0" r="0" t="0"/>
            <wp:docPr descr="Изменение кода" title="fig: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0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кода</w:t>
      </w:r>
    </w:p>
    <w:p>
      <w:pPr>
        <w:pStyle w:val="BodyText"/>
      </w:pPr>
      <w:r>
        <w:t xml:space="preserve">Проверим правильность его работы, скомпилировав его и запустив (Рис. 2.35)</w:t>
      </w:r>
    </w:p>
    <w:p>
      <w:pPr>
        <w:pStyle w:val="CaptionedFigure"/>
      </w:pPr>
      <w:r>
        <w:drawing>
          <wp:inline>
            <wp:extent cx="5334000" cy="826976"/>
            <wp:effectExtent b="0" l="0" r="0" t="0"/>
            <wp:docPr descr="Компиляция кода и проверка работы" title="fig:" id="124" name="Picture"/>
            <a:graphic>
              <a:graphicData uri="http://schemas.openxmlformats.org/drawingml/2006/picture">
                <pic:pic>
                  <pic:nvPicPr>
                    <pic:cNvPr descr="image/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кода и проверка работы</w:t>
      </w:r>
    </w:p>
    <w:p>
      <w:pPr>
        <w:pStyle w:val="BodyText"/>
      </w:pPr>
      <w:r>
        <w:t xml:space="preserve">Теперь код работает правильно</w:t>
      </w:r>
    </w:p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навыки работы с adb, а также получены навыки работы с подпрограммами</w:t>
      </w:r>
    </w:p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Колонтырский Илья Русланович</dc:creator>
  <dc:language>ru-RU</dc:language>
  <cp:keywords/>
  <dcterms:created xsi:type="dcterms:W3CDTF">2024-01-12T23:29:21Z</dcterms:created>
  <dcterms:modified xsi:type="dcterms:W3CDTF">2024-01-12T23:29:21Z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