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מפגש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משותף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פרוייקטים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רופין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יקותיאלי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וסער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אליאס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סיכומי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פגישות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לפגישות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18.10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17 – 20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428bca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https://www.nvidia.com/en-us/training/online/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6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Getting Started with AI on Jetson Nano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6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AI Workflows for Intelligent Video Analytics with DeepStream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6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Getting Started with DeepStream for Video Analytics on Jetson Nano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jetson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תקציר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אנגלית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תקציר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הדוח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שהפרוייקט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אוטונומיות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2.1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הספציפי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הרחב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אוטונומיות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2.2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מיוצרת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המורכבות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2.3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פותרים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מבחינה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טכנולוגית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המרכיבים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תהליכים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גטסון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ולממש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שהפרוייקט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אוטונומיים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בלוקים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בלוקים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שמתאר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מסכמים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מועדי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. </w:t>
      </w:r>
    </w:p>
    <w:p w:rsidR="00000000" w:rsidDel="00000000" w:rsidP="00000000" w:rsidRDefault="00000000" w:rsidRPr="00000000" w14:paraId="00000019">
      <w:pPr>
        <w:bidi w:val="1"/>
        <w:rPr/>
      </w:pPr>
      <w:bookmarkStart w:colFirst="0" w:colLast="0" w:name="_heading=h.gjdgxs" w:id="0"/>
      <w:bookmarkEnd w:id="0"/>
      <w:r w:rsidDel="00000000" w:rsidR="00000000" w:rsidRPr="00000000">
        <w:rPr>
          <w:rtl w:val="1"/>
        </w:rPr>
        <w:t xml:space="preserve">בפגישה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) 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613E9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613E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s02st1.zoom.us/web_client/5g6glw/html/externalLinkPage.html?ref=https://www.nvidia.com/en-us/training/onlin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mZKzENIMiPBqRJM68s0+FdeTUQ==">AMUW2mVTVHHJF3oeCGf/kHt/HlkV3nRahNe6f22ZW+BL/5pnzHPbYhoXKU9YGsGUjdr1oRFbkyn0Vv4esEUlpMtdV3Z3aTd9Z+ARy2r0H78JNvc9rTmOGeCQ0RepHT7Tf5FVT8hkJip0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2021-10-04T17:09:00Z</dcterms:created>
  <dc:creator>Microsoft Office User</dc:creator>
</cp:coreProperties>
</file>