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7C6C5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1 – AI Defenses: Guardrails &amp; Access Controls</w:t>
      </w:r>
    </w:p>
    <w:p w14:paraId="4F316E4C" w14:textId="77777777" w:rsidR="005F6275" w:rsidRPr="005F6275" w:rsidRDefault="005F6275" w:rsidP="005F6275">
      <w:pPr>
        <w:pStyle w:val="NormalWeb"/>
        <w:numPr>
          <w:ilvl w:val="0"/>
          <w:numId w:val="1"/>
        </w:numPr>
        <w:rPr>
          <w:rFonts w:ascii="Aptos" w:hAnsi="Aptos"/>
          <w:color w:val="000000"/>
        </w:rPr>
      </w:pPr>
      <w:r w:rsidRPr="005F6275">
        <w:rPr>
          <w:rFonts w:ascii="Aptos" w:hAnsi="Aptos"/>
          <w:color w:val="000000"/>
        </w:rPr>
        <w:t>OWASP Foundation, “OWASP Top 10 for Large Language Model Applications 2025,” 2025.</w:t>
      </w:r>
    </w:p>
    <w:p w14:paraId="366147AE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2 – Encryption, Masking, Redaction</w:t>
      </w:r>
      <w:r w:rsidRPr="005F6275">
        <w:rPr>
          <w:rFonts w:ascii="Aptos" w:hAnsi="Aptos"/>
          <w:color w:val="000000"/>
        </w:rPr>
        <w:br/>
        <w:t>2. Queen’s University Belfast,</w:t>
      </w:r>
      <w:r w:rsidRPr="005F6275">
        <w:rPr>
          <w:rStyle w:val="apple-converted-space"/>
          <w:rFonts w:ascii="Aptos" w:eastAsiaTheme="majorEastAsia" w:hAnsi="Aptos"/>
          <w:color w:val="000000"/>
        </w:rPr>
        <w:t> </w:t>
      </w:r>
      <w:r w:rsidRPr="005F6275">
        <w:rPr>
          <w:rStyle w:val="Emphasis"/>
          <w:rFonts w:ascii="Aptos" w:eastAsiaTheme="majorEastAsia" w:hAnsi="Aptos"/>
          <w:color w:val="000000"/>
        </w:rPr>
        <w:t>Study of Research and Guidance on the Cyber Security of AI</w:t>
      </w:r>
      <w:r w:rsidRPr="005F6275">
        <w:rPr>
          <w:rStyle w:val="apple-converted-space"/>
          <w:rFonts w:ascii="Aptos" w:eastAsiaTheme="majorEastAsia" w:hAnsi="Aptos"/>
          <w:color w:val="000000"/>
        </w:rPr>
        <w:t> </w:t>
      </w:r>
      <w:r w:rsidRPr="005F6275">
        <w:rPr>
          <w:rFonts w:ascii="Aptos" w:hAnsi="Aptos"/>
          <w:color w:val="000000"/>
        </w:rPr>
        <w:t>(defensive practices section), UK Government Assets, 2024.</w:t>
      </w:r>
    </w:p>
    <w:p w14:paraId="4D07B188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3 – Monitoring &amp; Drift Detection</w:t>
      </w:r>
      <w:r w:rsidRPr="005F6275">
        <w:rPr>
          <w:rFonts w:ascii="Aptos" w:hAnsi="Aptos"/>
          <w:color w:val="000000"/>
        </w:rPr>
        <w:br/>
        <w:t>3. Chaos Search, “How to Detect Threats to AI Systems with MITRE ATLAS Framework,” Chaos Search Blog, Oct. 2024.</w:t>
      </w:r>
    </w:p>
    <w:p w14:paraId="3B3287A5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4 – Audit Trails &amp; IR Playbooks</w:t>
      </w:r>
      <w:r w:rsidRPr="005F6275">
        <w:rPr>
          <w:rFonts w:ascii="Aptos" w:hAnsi="Aptos"/>
          <w:color w:val="000000"/>
        </w:rPr>
        <w:br/>
        <w:t>4. UC Berkeley Center for Long-Term Cybersecurity,</w:t>
      </w:r>
      <w:r w:rsidRPr="005F6275">
        <w:rPr>
          <w:rStyle w:val="apple-converted-space"/>
          <w:rFonts w:ascii="Aptos" w:eastAsiaTheme="majorEastAsia" w:hAnsi="Aptos"/>
          <w:color w:val="000000"/>
        </w:rPr>
        <w:t> </w:t>
      </w:r>
      <w:r w:rsidRPr="005F6275">
        <w:rPr>
          <w:rStyle w:val="Emphasis"/>
          <w:rFonts w:ascii="Aptos" w:eastAsiaTheme="majorEastAsia" w:hAnsi="Aptos"/>
          <w:color w:val="000000"/>
        </w:rPr>
        <w:t>Adversarial Machine Learning</w:t>
      </w:r>
      <w:r w:rsidRPr="005F6275">
        <w:rPr>
          <w:rStyle w:val="apple-converted-space"/>
          <w:rFonts w:ascii="Aptos" w:eastAsiaTheme="majorEastAsia" w:hAnsi="Aptos"/>
          <w:color w:val="000000"/>
        </w:rPr>
        <w:t> </w:t>
      </w:r>
      <w:r w:rsidRPr="005F6275">
        <w:rPr>
          <w:rFonts w:ascii="Aptos" w:hAnsi="Aptos"/>
          <w:color w:val="000000"/>
        </w:rPr>
        <w:t>(IR strategies), Dec. 2019.</w:t>
      </w:r>
    </w:p>
    <w:p w14:paraId="1C8AAB98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5 – AI-Assisted Security Tools (Code Analysis, Logs)</w:t>
      </w:r>
      <w:r w:rsidRPr="005F6275">
        <w:rPr>
          <w:rFonts w:ascii="Aptos" w:hAnsi="Aptos"/>
          <w:color w:val="000000"/>
        </w:rPr>
        <w:br/>
        <w:t>5. Center for Security and Emerging Technology,</w:t>
      </w:r>
      <w:r w:rsidRPr="005F6275">
        <w:rPr>
          <w:rStyle w:val="apple-converted-space"/>
          <w:rFonts w:ascii="Aptos" w:eastAsiaTheme="majorEastAsia" w:hAnsi="Aptos"/>
          <w:color w:val="000000"/>
        </w:rPr>
        <w:t> </w:t>
      </w:r>
      <w:r w:rsidRPr="005F6275">
        <w:rPr>
          <w:rStyle w:val="Emphasis"/>
          <w:rFonts w:ascii="Aptos" w:eastAsiaTheme="majorEastAsia" w:hAnsi="Aptos"/>
          <w:color w:val="000000"/>
        </w:rPr>
        <w:t>Adversarial Machine Learning and Cybersecurity</w:t>
      </w:r>
      <w:r w:rsidRPr="005F6275">
        <w:rPr>
          <w:rFonts w:ascii="Aptos" w:hAnsi="Aptos"/>
          <w:color w:val="000000"/>
        </w:rPr>
        <w:t>, Georgetown University, Sep. 2024.</w:t>
      </w:r>
    </w:p>
    <w:p w14:paraId="0EE5BA37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 xml:space="preserve">Week 6 – AI in CI/CD &amp; </w:t>
      </w:r>
      <w:proofErr w:type="spellStart"/>
      <w:r w:rsidRPr="005F6275">
        <w:rPr>
          <w:rStyle w:val="Strong"/>
          <w:rFonts w:ascii="Aptos" w:eastAsiaTheme="majorEastAsia" w:hAnsi="Aptos"/>
          <w:color w:val="000000"/>
        </w:rPr>
        <w:t>DevSecOps</w:t>
      </w:r>
      <w:proofErr w:type="spellEnd"/>
      <w:r w:rsidRPr="005F6275">
        <w:rPr>
          <w:rFonts w:ascii="Aptos" w:hAnsi="Aptos"/>
          <w:color w:val="000000"/>
        </w:rPr>
        <w:br/>
        <w:t>6. A. Masood, “Responsible AI Revisited: Critical Changes and Updates Since Our 2023 Playbook,” Medium, May 2025.</w:t>
      </w:r>
    </w:p>
    <w:p w14:paraId="1E259B36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7 – Governance Structures &amp; Oversight</w:t>
      </w:r>
      <w:r w:rsidRPr="005F6275">
        <w:rPr>
          <w:rFonts w:ascii="Aptos" w:hAnsi="Aptos"/>
          <w:color w:val="000000"/>
        </w:rPr>
        <w:br/>
        <w:t>7. National Institute of Standards and Technology, “NIST AI Risk Management Framework (AI RMF 1.0),” NIST AI 100-1, Jan. 2023.</w:t>
      </w:r>
    </w:p>
    <w:p w14:paraId="23C0282E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8 – Responsible AI (Fairness, Transparency, Accountability)</w:t>
      </w:r>
      <w:r w:rsidRPr="005F6275">
        <w:rPr>
          <w:rFonts w:ascii="Aptos" w:hAnsi="Aptos"/>
          <w:color w:val="000000"/>
        </w:rPr>
        <w:br/>
        <w:t>8. A. Masood,</w:t>
      </w:r>
      <w:r w:rsidRPr="005F6275">
        <w:rPr>
          <w:rStyle w:val="apple-converted-space"/>
          <w:rFonts w:ascii="Aptos" w:eastAsiaTheme="majorEastAsia" w:hAnsi="Aptos"/>
          <w:color w:val="000000"/>
        </w:rPr>
        <w:t> </w:t>
      </w:r>
      <w:r w:rsidRPr="005F6275">
        <w:rPr>
          <w:rStyle w:val="Emphasis"/>
          <w:rFonts w:ascii="Aptos" w:eastAsiaTheme="majorEastAsia" w:hAnsi="Aptos"/>
          <w:color w:val="000000"/>
        </w:rPr>
        <w:t>Responsible AI Revisited</w:t>
      </w:r>
      <w:r w:rsidRPr="005F6275">
        <w:rPr>
          <w:rStyle w:val="apple-converted-space"/>
          <w:rFonts w:ascii="Aptos" w:eastAsiaTheme="majorEastAsia" w:hAnsi="Aptos"/>
          <w:color w:val="000000"/>
        </w:rPr>
        <w:t> </w:t>
      </w:r>
      <w:r w:rsidRPr="005F6275">
        <w:rPr>
          <w:rFonts w:ascii="Aptos" w:hAnsi="Aptos"/>
          <w:color w:val="000000"/>
        </w:rPr>
        <w:t>(fairness and updates), Medium, May 2025.</w:t>
      </w:r>
    </w:p>
    <w:p w14:paraId="1DD24414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9 – NIST AI RMF Deep Dive</w:t>
      </w:r>
      <w:r w:rsidRPr="005F6275">
        <w:rPr>
          <w:rFonts w:ascii="Aptos" w:hAnsi="Aptos"/>
          <w:color w:val="000000"/>
        </w:rPr>
        <w:br/>
        <w:t>9. National Institute of Standards and Technology, “NIST AI RMF Playbook,” Feb. 2025.</w:t>
      </w:r>
    </w:p>
    <w:p w14:paraId="268A852A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10 – EU AI Act (Global Compliance)</w:t>
      </w:r>
      <w:r w:rsidRPr="005F6275">
        <w:rPr>
          <w:rFonts w:ascii="Aptos" w:hAnsi="Aptos"/>
          <w:color w:val="000000"/>
        </w:rPr>
        <w:br/>
        <w:t>10. European Commission, “EU AI Act | Shaping Europe’s digital future,” 2025.</w:t>
      </w:r>
      <w:r w:rsidRPr="005F6275">
        <w:rPr>
          <w:rFonts w:ascii="Aptos" w:hAnsi="Aptos"/>
          <w:color w:val="000000"/>
        </w:rPr>
        <w:br/>
        <w:t>11. Future of Life Institute, “EU AI Act Compliance Checker,” 2025.</w:t>
      </w:r>
    </w:p>
    <w:p w14:paraId="2B236431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11 – Corporate Audit Readiness</w:t>
      </w:r>
      <w:r w:rsidRPr="005F6275">
        <w:rPr>
          <w:rFonts w:ascii="Aptos" w:hAnsi="Aptos"/>
          <w:color w:val="000000"/>
        </w:rPr>
        <w:br/>
        <w:t>12. A-LIGN, “Preparing for EU AI Act Compliance with ISO 42001,” Apr. 2025.</w:t>
      </w:r>
      <w:r w:rsidRPr="005F6275">
        <w:rPr>
          <w:rFonts w:ascii="Aptos" w:hAnsi="Aptos"/>
          <w:color w:val="000000"/>
        </w:rPr>
        <w:br/>
        <w:t>13. International Association of Privacy Professionals, “EU AI Act Compliance Matrix,” 2025.</w:t>
      </w:r>
    </w:p>
    <w:p w14:paraId="07C76DAB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lastRenderedPageBreak/>
        <w:t>Week 12 – Advanced Defenses &amp; Layered Security</w:t>
      </w:r>
      <w:r w:rsidRPr="005F6275">
        <w:rPr>
          <w:rFonts w:ascii="Aptos" w:hAnsi="Aptos"/>
          <w:color w:val="000000"/>
        </w:rPr>
        <w:br/>
        <w:t>14.</w:t>
      </w:r>
      <w:r w:rsidRPr="005F6275">
        <w:rPr>
          <w:rStyle w:val="apple-converted-space"/>
          <w:rFonts w:ascii="Aptos" w:eastAsiaTheme="majorEastAsia" w:hAnsi="Aptos"/>
          <w:color w:val="000000"/>
        </w:rPr>
        <w:t> </w:t>
      </w:r>
      <w:r w:rsidRPr="005F6275">
        <w:rPr>
          <w:rStyle w:val="Emphasis"/>
          <w:rFonts w:ascii="Aptos" w:eastAsiaTheme="majorEastAsia" w:hAnsi="Aptos"/>
          <w:color w:val="000000"/>
        </w:rPr>
        <w:t>Artificial Intelligence Review</w:t>
      </w:r>
      <w:r w:rsidRPr="005F6275">
        <w:rPr>
          <w:rFonts w:ascii="Aptos" w:hAnsi="Aptos"/>
          <w:color w:val="000000"/>
        </w:rPr>
        <w:t>, “Adversarial machine learning: a review of methods, tools, and critical industry sectors,” May 2025.</w:t>
      </w:r>
    </w:p>
    <w:p w14:paraId="08C6DFA3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13 – Capstone Work Week (Team Progress)</w:t>
      </w:r>
      <w:r w:rsidRPr="005F6275">
        <w:rPr>
          <w:rFonts w:ascii="Aptos" w:hAnsi="Aptos"/>
          <w:color w:val="000000"/>
        </w:rPr>
        <w:br/>
        <w:t xml:space="preserve">15. S. H. Cen and R. Alur, “From Transparency to Accountability and Back: A Discussion of Access and Evidence in AI Auditing,” </w:t>
      </w:r>
      <w:proofErr w:type="spellStart"/>
      <w:r w:rsidRPr="005F6275">
        <w:rPr>
          <w:rFonts w:ascii="Aptos" w:hAnsi="Aptos"/>
          <w:color w:val="000000"/>
        </w:rPr>
        <w:t>arXiv</w:t>
      </w:r>
      <w:proofErr w:type="spellEnd"/>
      <w:r w:rsidRPr="005F6275">
        <w:rPr>
          <w:rFonts w:ascii="Aptos" w:hAnsi="Aptos"/>
          <w:color w:val="000000"/>
        </w:rPr>
        <w:t xml:space="preserve"> preprint arXiv:2410.04772, Oct. 2024.</w:t>
      </w:r>
    </w:p>
    <w:p w14:paraId="507E31A0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14 – Capstone Presentations (Groups A &amp; B)</w:t>
      </w:r>
      <w:r w:rsidRPr="005F6275">
        <w:rPr>
          <w:rFonts w:ascii="Aptos" w:hAnsi="Aptos"/>
          <w:color w:val="000000"/>
        </w:rPr>
        <w:br/>
        <w:t xml:space="preserve">16. S. Casper, C. Ezell, C. Siegmann, et al., “Black-Box Access is Insufficient for Rigorous AI Audits,” </w:t>
      </w:r>
      <w:proofErr w:type="spellStart"/>
      <w:r w:rsidRPr="005F6275">
        <w:rPr>
          <w:rFonts w:ascii="Aptos" w:hAnsi="Aptos"/>
          <w:color w:val="000000"/>
        </w:rPr>
        <w:t>arXiv</w:t>
      </w:r>
      <w:proofErr w:type="spellEnd"/>
      <w:r w:rsidRPr="005F6275">
        <w:rPr>
          <w:rFonts w:ascii="Aptos" w:hAnsi="Aptos"/>
          <w:color w:val="000000"/>
        </w:rPr>
        <w:t xml:space="preserve"> preprint arXiv:2401.14446, 2024.</w:t>
      </w:r>
    </w:p>
    <w:p w14:paraId="1442B6EC" w14:textId="77777777" w:rsidR="005F6275" w:rsidRPr="005F6275" w:rsidRDefault="005F6275" w:rsidP="005F6275">
      <w:pPr>
        <w:pStyle w:val="NormalWeb"/>
        <w:rPr>
          <w:rFonts w:ascii="Aptos" w:hAnsi="Aptos"/>
          <w:color w:val="000000"/>
        </w:rPr>
      </w:pPr>
      <w:r w:rsidRPr="005F6275">
        <w:rPr>
          <w:rStyle w:val="Strong"/>
          <w:rFonts w:ascii="Aptos" w:eastAsiaTheme="majorEastAsia" w:hAnsi="Aptos"/>
          <w:color w:val="000000"/>
        </w:rPr>
        <w:t>Week 15 – Final Exam &amp; Course Reflection</w:t>
      </w:r>
      <w:r w:rsidRPr="005F6275">
        <w:rPr>
          <w:rFonts w:ascii="Aptos" w:hAnsi="Aptos"/>
          <w:color w:val="000000"/>
        </w:rPr>
        <w:br/>
        <w:t>17. A. Masood,</w:t>
      </w:r>
      <w:r w:rsidRPr="005F6275">
        <w:rPr>
          <w:rStyle w:val="apple-converted-space"/>
          <w:rFonts w:ascii="Aptos" w:eastAsiaTheme="majorEastAsia" w:hAnsi="Aptos"/>
          <w:color w:val="000000"/>
        </w:rPr>
        <w:t> </w:t>
      </w:r>
      <w:r w:rsidRPr="005F6275">
        <w:rPr>
          <w:rStyle w:val="Emphasis"/>
          <w:rFonts w:ascii="Aptos" w:eastAsiaTheme="majorEastAsia" w:hAnsi="Aptos"/>
          <w:color w:val="000000"/>
        </w:rPr>
        <w:t>Responsible AI Revisited</w:t>
      </w:r>
      <w:r w:rsidRPr="005F6275">
        <w:rPr>
          <w:rStyle w:val="apple-converted-space"/>
          <w:rFonts w:ascii="Aptos" w:eastAsiaTheme="majorEastAsia" w:hAnsi="Aptos"/>
          <w:color w:val="000000"/>
        </w:rPr>
        <w:t> </w:t>
      </w:r>
      <w:r w:rsidRPr="005F6275">
        <w:rPr>
          <w:rFonts w:ascii="Aptos" w:hAnsi="Aptos"/>
          <w:color w:val="000000"/>
        </w:rPr>
        <w:t>(reflection sections), Medium, May 2025.</w:t>
      </w:r>
    </w:p>
    <w:p w14:paraId="50B05FE5" w14:textId="77777777" w:rsidR="0030616E" w:rsidRPr="005F6275" w:rsidRDefault="0030616E">
      <w:pPr>
        <w:rPr>
          <w:rFonts w:ascii="Aptos" w:hAnsi="Aptos"/>
        </w:rPr>
      </w:pPr>
    </w:p>
    <w:sectPr w:rsidR="0030616E" w:rsidRPr="005F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936AC"/>
    <w:multiLevelType w:val="multilevel"/>
    <w:tmpl w:val="526A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37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5"/>
    <w:rsid w:val="0030616E"/>
    <w:rsid w:val="00486AC9"/>
    <w:rsid w:val="005F6275"/>
    <w:rsid w:val="00B1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2FF08"/>
  <w15:chartTrackingRefBased/>
  <w15:docId w15:val="{2443F77E-16EF-784F-9ACE-257863C7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2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6275"/>
    <w:rPr>
      <w:b/>
      <w:bCs/>
    </w:rPr>
  </w:style>
  <w:style w:type="character" w:customStyle="1" w:styleId="apple-converted-space">
    <w:name w:val="apple-converted-space"/>
    <w:basedOn w:val="DefaultParagraphFont"/>
    <w:rsid w:val="005F6275"/>
  </w:style>
  <w:style w:type="character" w:styleId="Emphasis">
    <w:name w:val="Emphasis"/>
    <w:basedOn w:val="DefaultParagraphFont"/>
    <w:uiPriority w:val="20"/>
    <w:qFormat/>
    <w:rsid w:val="005F62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Paiz</dc:creator>
  <cp:keywords/>
  <dc:description/>
  <cp:lastModifiedBy>Joshua Paiz</cp:lastModifiedBy>
  <cp:revision>1</cp:revision>
  <dcterms:created xsi:type="dcterms:W3CDTF">2025-10-02T10:16:00Z</dcterms:created>
  <dcterms:modified xsi:type="dcterms:W3CDTF">2025-10-02T10:16:00Z</dcterms:modified>
</cp:coreProperties>
</file>