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B12E00" w:rsidRDefault="00B12E00" w:rsidP="00B12E00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Реферат</w:t>
      </w: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«Компьютерные сети»</w:t>
      </w: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B12E00" w:rsidRPr="004E23B6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на </w:t>
      </w:r>
      <w:r w:rsidRPr="00B12E00"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тему «</w:t>
      </w:r>
      <w:r w:rsidRPr="00B12E00">
        <w:rPr>
          <w:rFonts w:ascii="Times New Roman" w:hAnsi="Times New Roman"/>
          <w:b/>
          <w:sz w:val="28"/>
        </w:rPr>
        <w:t>Технологии глобальных сетей. Преобразование форматов IP-адресов. Расчет IP-адреса и маски подсети</w:t>
      </w:r>
      <w:r w:rsidRPr="00B12E00"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B12E00" w:rsidRDefault="00B12E00" w:rsidP="00B12E0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B12E00" w:rsidRDefault="00B12E00" w:rsidP="00B12E0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B12E00" w:rsidRDefault="00B12E00" w:rsidP="00B12E0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B12E00" w:rsidRDefault="00B12E00" w:rsidP="00B12E0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B12E00" w:rsidRDefault="00B12E00" w:rsidP="00B12E00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B12E00" w:rsidRDefault="00B12E00" w:rsidP="00B12E00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BF1F5B" w:rsidRDefault="00BF1F5B"/>
    <w:p w:rsidR="00B12E00" w:rsidRDefault="00B12E00" w:rsidP="00B12E00">
      <w:pPr>
        <w:ind w:firstLine="708"/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b/>
          <w:sz w:val="28"/>
          <w:szCs w:val="28"/>
        </w:rPr>
        <w:lastRenderedPageBreak/>
        <w:t>Глобальная сеть</w:t>
      </w:r>
      <w:r w:rsidRPr="00B12E00">
        <w:rPr>
          <w:rFonts w:ascii="Times New Roman" w:hAnsi="Times New Roman"/>
          <w:sz w:val="28"/>
          <w:szCs w:val="28"/>
        </w:rPr>
        <w:t xml:space="preserve"> - сеть передачи данных, которая работает вне г</w:t>
      </w:r>
      <w:r>
        <w:rPr>
          <w:rFonts w:ascii="Times New Roman" w:hAnsi="Times New Roman"/>
          <w:sz w:val="28"/>
          <w:szCs w:val="28"/>
        </w:rPr>
        <w:t>еографических возможностей LAN.</w:t>
      </w:r>
    </w:p>
    <w:p w:rsidR="00B12E00" w:rsidRPr="00B12E00" w:rsidRDefault="00B12E00" w:rsidP="00B12E00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B12E00">
        <w:rPr>
          <w:rFonts w:ascii="Times New Roman" w:hAnsi="Times New Roman"/>
          <w:sz w:val="28"/>
          <w:szCs w:val="28"/>
        </w:rPr>
        <w:t xml:space="preserve"> главных характеристики WAN:</w:t>
      </w:r>
    </w:p>
    <w:p w:rsidR="00B12E00" w:rsidRPr="00B12E00" w:rsidRDefault="00B12E00" w:rsidP="00B12E00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>WAN подключают устройства, которые отделены широкими географическими областями.</w:t>
      </w:r>
    </w:p>
    <w:p w:rsidR="00B12E00" w:rsidRPr="00B12E00" w:rsidRDefault="00B12E00" w:rsidP="00B12E00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 xml:space="preserve">WAN используют общедоступные среды передачи, </w:t>
      </w:r>
      <w:proofErr w:type="gramStart"/>
      <w:r w:rsidRPr="00B12E00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B12E00">
        <w:rPr>
          <w:rFonts w:ascii="Times New Roman" w:hAnsi="Times New Roman"/>
          <w:sz w:val="28"/>
          <w:szCs w:val="28"/>
        </w:rPr>
        <w:t>: сети телефонных компаний, кабельных компаний, спутниковых систем, и сетевых провайдеров.</w:t>
      </w:r>
    </w:p>
    <w:p w:rsidR="00B12E00" w:rsidRPr="00B12E00" w:rsidRDefault="00B12E00" w:rsidP="00B12E00">
      <w:pPr>
        <w:pStyle w:val="a4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>WAN используют последовательные подключения различных типов, чтобы обеспечить доступ к пропускной способности по большим географическим областям</w:t>
      </w: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>Физический уровень WAN описывает интерфейс ме</w:t>
      </w:r>
      <w:r>
        <w:rPr>
          <w:rFonts w:ascii="Times New Roman" w:hAnsi="Times New Roman"/>
          <w:sz w:val="28"/>
          <w:szCs w:val="28"/>
        </w:rPr>
        <w:t xml:space="preserve">жду терминальным оборудованием </w:t>
      </w:r>
      <w:r w:rsidRPr="00B12E00">
        <w:rPr>
          <w:rFonts w:ascii="Times New Roman" w:hAnsi="Times New Roman"/>
          <w:sz w:val="28"/>
          <w:szCs w:val="28"/>
        </w:rPr>
        <w:t>и оборудованием передачи</w:t>
      </w:r>
      <w:r>
        <w:rPr>
          <w:rFonts w:ascii="Times New Roman" w:hAnsi="Times New Roman"/>
          <w:sz w:val="28"/>
          <w:szCs w:val="28"/>
        </w:rPr>
        <w:t xml:space="preserve"> данных. </w:t>
      </w:r>
      <w:r w:rsidRPr="00B12E00">
        <w:rPr>
          <w:rFonts w:ascii="Times New Roman" w:hAnsi="Times New Roman"/>
          <w:sz w:val="28"/>
          <w:szCs w:val="28"/>
        </w:rPr>
        <w:t>К терминальному оборудованию относятся устройства, которые входят в интерфейс "пользователь-сеть" со стороны пользователя и играют роль отправителя данных, получателя данных или и того, и того вместе. Устройства DCE обеспечивают физическое подключение к сети, пропуск трафика и задание тактовых сигналов для синхронизации обмена данными между устройствами DCE и DTE. Обычно устройство DCE расположено у сервис-провайдера, a DTE — подключаемое устройство. В этой модели сервисы предоставляются DTE-устройствам с помощью модемов или устройств CSU/DSU.</w:t>
      </w: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>Существует несколько методов канальной инкапсуляции, связанных с линиями синхронной последовательной передачи данных.</w:t>
      </w: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b/>
          <w:sz w:val="28"/>
          <w:szCs w:val="28"/>
        </w:rPr>
        <w:t xml:space="preserve">HDLC </w:t>
      </w:r>
      <w:r w:rsidRPr="00B12E00">
        <w:rPr>
          <w:rFonts w:ascii="Times New Roman" w:hAnsi="Times New Roman"/>
          <w:sz w:val="28"/>
          <w:szCs w:val="28"/>
        </w:rPr>
        <w:t xml:space="preserve">— это </w:t>
      </w:r>
      <w:proofErr w:type="spellStart"/>
      <w:r w:rsidRPr="00B12E00">
        <w:rPr>
          <w:rFonts w:ascii="Times New Roman" w:hAnsi="Times New Roman"/>
          <w:sz w:val="28"/>
          <w:szCs w:val="28"/>
        </w:rPr>
        <w:t>битово</w:t>
      </w:r>
      <w:proofErr w:type="spellEnd"/>
      <w:r w:rsidRPr="00B12E00">
        <w:rPr>
          <w:rFonts w:ascii="Times New Roman" w:hAnsi="Times New Roman"/>
          <w:sz w:val="28"/>
          <w:szCs w:val="28"/>
        </w:rPr>
        <w:t>-ориентированный протокол, разработанный Международной организацией по стандартизации (ISO). HDLC описывает метод инкапсуляции в каналах синхронной последовательной связи с использованием символов кадров и контрольных сумм. HDLC является ISO-стандартом, реализации которого различными поставщиками могут быть несовместимы между собой по причине различий в способах его реализации, и поэтому этот стандарт не является общепринятым для глобальных сетей. Протокол HDLC поддерживает как двухточечную, так и многоточечную конфигурации.</w:t>
      </w:r>
    </w:p>
    <w:p w:rsidR="00B12E00" w:rsidRDefault="00B12E00" w:rsidP="00B12E00">
      <w:pPr>
        <w:rPr>
          <w:rFonts w:ascii="Times New Roman" w:hAnsi="Times New Roman"/>
          <w:sz w:val="28"/>
          <w:szCs w:val="28"/>
        </w:rPr>
      </w:pPr>
    </w:p>
    <w:p w:rsidR="00B12E00" w:rsidRDefault="00B12E00" w:rsidP="00B12E00">
      <w:pPr>
        <w:rPr>
          <w:rFonts w:ascii="Times New Roman" w:hAnsi="Times New Roman"/>
          <w:sz w:val="28"/>
          <w:szCs w:val="28"/>
        </w:rPr>
      </w:pP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lastRenderedPageBreak/>
        <w:t xml:space="preserve">Протокол </w:t>
      </w:r>
      <w:proofErr w:type="spellStart"/>
      <w:r w:rsidRPr="00193057">
        <w:rPr>
          <w:rFonts w:ascii="Times New Roman" w:hAnsi="Times New Roman"/>
          <w:b/>
          <w:sz w:val="28"/>
          <w:szCs w:val="28"/>
        </w:rPr>
        <w:t>Frame</w:t>
      </w:r>
      <w:proofErr w:type="spellEnd"/>
      <w:r w:rsidRPr="0019305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93057">
        <w:rPr>
          <w:rFonts w:ascii="Times New Roman" w:hAnsi="Times New Roman"/>
          <w:b/>
          <w:sz w:val="28"/>
          <w:szCs w:val="28"/>
        </w:rPr>
        <w:t>Relay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 предусматривает использование высококачественного цифрового оборудования. Используя упрощенный механизм формирования кадров без коррекции ошибок, </w:t>
      </w:r>
      <w:proofErr w:type="spellStart"/>
      <w:r w:rsidRPr="00B12E00">
        <w:rPr>
          <w:rFonts w:ascii="Times New Roman" w:hAnsi="Times New Roman"/>
          <w:sz w:val="28"/>
          <w:szCs w:val="28"/>
        </w:rPr>
        <w:t>Frame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E00">
        <w:rPr>
          <w:rFonts w:ascii="Times New Roman" w:hAnsi="Times New Roman"/>
          <w:sz w:val="28"/>
          <w:szCs w:val="28"/>
        </w:rPr>
        <w:t>Relay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 может отправлять информацию канального уровня намного быстрее, чем другие протоколы глобальных сетей. </w:t>
      </w:r>
      <w:proofErr w:type="spellStart"/>
      <w:r w:rsidRPr="00B12E00">
        <w:rPr>
          <w:rFonts w:ascii="Times New Roman" w:hAnsi="Times New Roman"/>
          <w:sz w:val="28"/>
          <w:szCs w:val="28"/>
        </w:rPr>
        <w:t>Frame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E00">
        <w:rPr>
          <w:rFonts w:ascii="Times New Roman" w:hAnsi="Times New Roman"/>
          <w:sz w:val="28"/>
          <w:szCs w:val="28"/>
        </w:rPr>
        <w:t>Relay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 является стандартным протоколом канального уровня при организации связи по коммутируемым каналам, позволяющим работать сразу с несколькими виртуальными каналами, в которых используется инкапсуляция по методу HDLC. </w:t>
      </w:r>
      <w:proofErr w:type="spellStart"/>
      <w:r w:rsidRPr="00B12E00">
        <w:rPr>
          <w:rFonts w:ascii="Times New Roman" w:hAnsi="Times New Roman"/>
          <w:sz w:val="28"/>
          <w:szCs w:val="28"/>
        </w:rPr>
        <w:t>Frame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E00">
        <w:rPr>
          <w:rFonts w:ascii="Times New Roman" w:hAnsi="Times New Roman"/>
          <w:sz w:val="28"/>
          <w:szCs w:val="28"/>
        </w:rPr>
        <w:t>Relay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 является более эффективным протоколом, чем протокол Х.25, для замены которого он и был разработан.</w:t>
      </w:r>
    </w:p>
    <w:p w:rsidR="00B12E00" w:rsidRPr="00B12E00" w:rsidRDefault="00B12E00" w:rsidP="00B12E00">
      <w:pPr>
        <w:rPr>
          <w:rFonts w:ascii="Times New Roman" w:hAnsi="Times New Roman"/>
          <w:b/>
          <w:sz w:val="28"/>
          <w:szCs w:val="28"/>
        </w:rPr>
      </w:pPr>
      <w:r w:rsidRPr="00B12E00">
        <w:rPr>
          <w:rFonts w:ascii="Times New Roman" w:hAnsi="Times New Roman"/>
          <w:b/>
          <w:sz w:val="28"/>
          <w:szCs w:val="28"/>
        </w:rPr>
        <w:t xml:space="preserve">РРР </w:t>
      </w: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>Протокол РРР обеспечивает соединение маршрутизатор—маршрутизатор и хост-сеть как по синхронным, так и по асинхронным каналам. РРР содержит поле типа протокола для идентификации протокола сетевого уровня.</w:t>
      </w:r>
    </w:p>
    <w:p w:rsidR="00B12E00" w:rsidRPr="00B12E00" w:rsidRDefault="00B12E00" w:rsidP="00B12E00">
      <w:pPr>
        <w:rPr>
          <w:rFonts w:ascii="Times New Roman" w:hAnsi="Times New Roman"/>
          <w:b/>
          <w:sz w:val="28"/>
          <w:szCs w:val="28"/>
          <w:lang w:val="en-US"/>
        </w:rPr>
      </w:pPr>
      <w:r w:rsidRPr="00B12E00">
        <w:rPr>
          <w:rFonts w:ascii="Times New Roman" w:hAnsi="Times New Roman"/>
          <w:b/>
          <w:sz w:val="28"/>
          <w:szCs w:val="28"/>
          <w:lang w:val="en-US"/>
        </w:rPr>
        <w:t>ISDN.</w:t>
      </w: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>ISDN является набором цифровых сервисов для передачи голоса и данных. Разработанный телефонными компаниями, этот протокол позволяет передавать по телефонным сетям данные, голос и другие виды трафика</w:t>
      </w:r>
    </w:p>
    <w:p w:rsidR="00B12E00" w:rsidRPr="00B12E00" w:rsidRDefault="00B12E00" w:rsidP="00B12E00">
      <w:pPr>
        <w:rPr>
          <w:rFonts w:ascii="Times New Roman" w:hAnsi="Times New Roman"/>
          <w:b/>
          <w:sz w:val="28"/>
          <w:szCs w:val="28"/>
          <w:lang w:val="en-US"/>
        </w:rPr>
      </w:pPr>
      <w:r w:rsidRPr="00B12E00">
        <w:rPr>
          <w:rFonts w:ascii="Times New Roman" w:hAnsi="Times New Roman"/>
          <w:b/>
          <w:sz w:val="28"/>
          <w:szCs w:val="28"/>
          <w:lang w:val="en-US"/>
        </w:rPr>
        <w:t>HDLC</w:t>
      </w:r>
    </w:p>
    <w:p w:rsidR="00B12E00" w:rsidRPr="00B12E00" w:rsidRDefault="00B12E00" w:rsidP="00B12E00">
      <w:pPr>
        <w:rPr>
          <w:rFonts w:ascii="Times New Roman" w:hAnsi="Times New Roman"/>
          <w:b/>
          <w:sz w:val="28"/>
          <w:szCs w:val="28"/>
          <w:lang w:val="en-US"/>
        </w:rPr>
      </w:pPr>
      <w:r w:rsidRPr="00B12E00">
        <w:rPr>
          <w:rFonts w:ascii="Times New Roman" w:hAnsi="Times New Roman"/>
          <w:b/>
          <w:sz w:val="28"/>
          <w:szCs w:val="28"/>
          <w:lang w:val="en-US"/>
        </w:rPr>
        <w:t>HDLC Frame Relay</w:t>
      </w:r>
    </w:p>
    <w:p w:rsidR="00B12E00" w:rsidRPr="00B12E00" w:rsidRDefault="00B12E00" w:rsidP="00193057">
      <w:pPr>
        <w:ind w:firstLine="708"/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 xml:space="preserve">По определению, </w:t>
      </w:r>
      <w:r w:rsidRPr="00193057">
        <w:rPr>
          <w:rFonts w:ascii="Times New Roman" w:hAnsi="Times New Roman"/>
          <w:b/>
          <w:sz w:val="28"/>
          <w:szCs w:val="28"/>
        </w:rPr>
        <w:t>глобальные сети</w:t>
      </w:r>
      <w:r w:rsidRPr="00B12E00">
        <w:rPr>
          <w:rFonts w:ascii="Times New Roman" w:hAnsi="Times New Roman"/>
          <w:sz w:val="28"/>
          <w:szCs w:val="28"/>
        </w:rPr>
        <w:t xml:space="preserve"> объединяют устройства, расположенные на большом удалении друг от друга. К устройствам глобальных сетей относятся следующие:</w:t>
      </w: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>Маршрутизаторы, обеспечивающие большое количество сервисов, включая организацию межсетевого взаимодействия и интерфейсные порты WAN.</w:t>
      </w: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>Коммутаторы, которые подключают полосу для передачи голосовых сообщений,</w:t>
      </w:r>
      <w:r w:rsidR="00193057">
        <w:rPr>
          <w:rFonts w:ascii="Times New Roman" w:hAnsi="Times New Roman"/>
          <w:sz w:val="28"/>
          <w:szCs w:val="28"/>
        </w:rPr>
        <w:t xml:space="preserve"> </w:t>
      </w:r>
      <w:r w:rsidRPr="00B12E00">
        <w:rPr>
          <w:rFonts w:ascii="Times New Roman" w:hAnsi="Times New Roman"/>
          <w:sz w:val="28"/>
          <w:szCs w:val="28"/>
        </w:rPr>
        <w:t>данных и видео.</w:t>
      </w: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>Модемы, которые служат интерфейсом для голосовых сервисов; устройства управления канало</w:t>
      </w:r>
      <w:r w:rsidR="00193057">
        <w:rPr>
          <w:rFonts w:ascii="Times New Roman" w:hAnsi="Times New Roman"/>
          <w:sz w:val="28"/>
          <w:szCs w:val="28"/>
        </w:rPr>
        <w:t>м/цифровые сервисные устройства,</w:t>
      </w:r>
      <w:r w:rsidRPr="00B12E00">
        <w:rPr>
          <w:rFonts w:ascii="Times New Roman" w:hAnsi="Times New Roman"/>
          <w:sz w:val="28"/>
          <w:szCs w:val="28"/>
        </w:rPr>
        <w:t xml:space="preserve"> которые являются интерфейсом для сервисов Т1/Е1; терминальные адаптеры и оконечные сетев</w:t>
      </w:r>
      <w:r w:rsidR="00193057">
        <w:rPr>
          <w:rFonts w:ascii="Times New Roman" w:hAnsi="Times New Roman"/>
          <w:sz w:val="28"/>
          <w:szCs w:val="28"/>
        </w:rPr>
        <w:t xml:space="preserve">ые устройства 1, </w:t>
      </w:r>
      <w:r w:rsidRPr="00B12E00">
        <w:rPr>
          <w:rFonts w:ascii="Times New Roman" w:hAnsi="Times New Roman"/>
          <w:sz w:val="28"/>
          <w:szCs w:val="28"/>
        </w:rPr>
        <w:t>которые служат интерфейсом для служб ци</w:t>
      </w:r>
      <w:r w:rsidR="00193057">
        <w:rPr>
          <w:rFonts w:ascii="Times New Roman" w:hAnsi="Times New Roman"/>
          <w:sz w:val="28"/>
          <w:szCs w:val="28"/>
        </w:rPr>
        <w:t>фровой сети с интеграцией услуг.</w:t>
      </w:r>
    </w:p>
    <w:p w:rsidR="00B12E00" w:rsidRPr="00B12E00" w:rsidRDefault="00193057" w:rsidP="00B12E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Коммуникационные серверы, </w:t>
      </w:r>
      <w:r w:rsidR="00B12E00" w:rsidRPr="00B12E00">
        <w:rPr>
          <w:rFonts w:ascii="Times New Roman" w:hAnsi="Times New Roman"/>
          <w:sz w:val="28"/>
          <w:szCs w:val="28"/>
        </w:rPr>
        <w:t>которые концентрируют входящие и исходящие пользовательские соединения по коммутируемым каналам связи.</w:t>
      </w:r>
    </w:p>
    <w:p w:rsidR="00B12E00" w:rsidRPr="00B12E00" w:rsidRDefault="00B12E00" w:rsidP="00193057">
      <w:pPr>
        <w:ind w:firstLine="708"/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>Каждый компьютер в сети TCP/IP имеет адреса трех уровней:</w:t>
      </w:r>
    </w:p>
    <w:p w:rsidR="00B12E00" w:rsidRPr="00193057" w:rsidRDefault="00B12E00" w:rsidP="00193057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93057">
        <w:rPr>
          <w:rFonts w:ascii="Times New Roman" w:hAnsi="Times New Roman"/>
          <w:sz w:val="28"/>
          <w:szCs w:val="28"/>
        </w:rPr>
        <w:t xml:space="preserve">Локальный адрес узла, определяемый технологией, с помощью которой построена отдельная сеть, в которую входит данный узел. Для узлов, входящих в локальные сети - это МАС-адрес сетевого адаптера или порта маршрутизатора, например, 11-А0-17-3D-BC-01. Эти адреса назначаются производителями оборудования и являются уникальными адресами, так как управляются централизовано. Для всех существующих технологий локальных сетей МАС-адрес имеет формат 6 байтов: старшие 3 байта - идентификатор фирмы производителя, а младшие 3 байта назначаются уникальным образом самим производителем. Для узлов, входящих в глобальные сети, такие как Х.25 или </w:t>
      </w:r>
      <w:proofErr w:type="spellStart"/>
      <w:r w:rsidRPr="00193057">
        <w:rPr>
          <w:rFonts w:ascii="Times New Roman" w:hAnsi="Times New Roman"/>
          <w:sz w:val="28"/>
          <w:szCs w:val="28"/>
        </w:rPr>
        <w:t>frame</w:t>
      </w:r>
      <w:proofErr w:type="spellEnd"/>
      <w:r w:rsidRPr="001930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3057">
        <w:rPr>
          <w:rFonts w:ascii="Times New Roman" w:hAnsi="Times New Roman"/>
          <w:sz w:val="28"/>
          <w:szCs w:val="28"/>
        </w:rPr>
        <w:t>relay</w:t>
      </w:r>
      <w:proofErr w:type="spellEnd"/>
      <w:r w:rsidRPr="00193057">
        <w:rPr>
          <w:rFonts w:ascii="Times New Roman" w:hAnsi="Times New Roman"/>
          <w:sz w:val="28"/>
          <w:szCs w:val="28"/>
        </w:rPr>
        <w:t>, локальный адрес назначается администратором глобальной сети.</w:t>
      </w:r>
    </w:p>
    <w:p w:rsidR="00B12E00" w:rsidRPr="00193057" w:rsidRDefault="00B12E00" w:rsidP="00193057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93057">
        <w:rPr>
          <w:rFonts w:ascii="Times New Roman" w:hAnsi="Times New Roman"/>
          <w:sz w:val="28"/>
          <w:szCs w:val="28"/>
        </w:rPr>
        <w:t xml:space="preserve"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 IP-адрес состоит из двух частей: номера сети и номера узла. Номер сети может быть выбран администратором произвольно, либо назначен по рекомендации специального подразделения </w:t>
      </w:r>
      <w:proofErr w:type="spellStart"/>
      <w:r w:rsidRPr="00193057">
        <w:rPr>
          <w:rFonts w:ascii="Times New Roman" w:hAnsi="Times New Roman"/>
          <w:sz w:val="28"/>
          <w:szCs w:val="28"/>
        </w:rPr>
        <w:t>Internet</w:t>
      </w:r>
      <w:proofErr w:type="spellEnd"/>
      <w:r w:rsidRPr="00193057">
        <w:rPr>
          <w:rFonts w:ascii="Times New Roman" w:hAnsi="Times New Roman"/>
          <w:sz w:val="28"/>
          <w:szCs w:val="28"/>
        </w:rPr>
        <w:t> </w:t>
      </w:r>
      <w:proofErr w:type="gramStart"/>
      <w:r w:rsidRPr="00193057">
        <w:rPr>
          <w:rFonts w:ascii="Times New Roman" w:hAnsi="Times New Roman"/>
          <w:sz w:val="28"/>
          <w:szCs w:val="28"/>
        </w:rPr>
        <w:t>NIC(</w:t>
      </w:r>
      <w:proofErr w:type="spellStart"/>
      <w:proofErr w:type="gramEnd"/>
      <w:r w:rsidRPr="00193057">
        <w:rPr>
          <w:rFonts w:ascii="Times New Roman" w:hAnsi="Times New Roman"/>
          <w:sz w:val="28"/>
          <w:szCs w:val="28"/>
        </w:rPr>
        <w:t>Network</w:t>
      </w:r>
      <w:proofErr w:type="spellEnd"/>
      <w:r w:rsidRPr="001930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3057">
        <w:rPr>
          <w:rFonts w:ascii="Times New Roman" w:hAnsi="Times New Roman"/>
          <w:sz w:val="28"/>
          <w:szCs w:val="28"/>
        </w:rPr>
        <w:t>Information</w:t>
      </w:r>
      <w:proofErr w:type="spellEnd"/>
      <w:r w:rsidRPr="0019305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93057">
        <w:rPr>
          <w:rFonts w:ascii="Times New Roman" w:hAnsi="Times New Roman"/>
          <w:sz w:val="28"/>
          <w:szCs w:val="28"/>
        </w:rPr>
        <w:t>Center</w:t>
      </w:r>
      <w:proofErr w:type="spellEnd"/>
      <w:r w:rsidRPr="00193057">
        <w:rPr>
          <w:rFonts w:ascii="Times New Roman" w:hAnsi="Times New Roman"/>
          <w:sz w:val="28"/>
          <w:szCs w:val="28"/>
        </w:rPr>
        <w:t xml:space="preserve">), если сеть должна работать как составная часть </w:t>
      </w:r>
      <w:proofErr w:type="spellStart"/>
      <w:r w:rsidRPr="00193057">
        <w:rPr>
          <w:rFonts w:ascii="Times New Roman" w:hAnsi="Times New Roman"/>
          <w:sz w:val="28"/>
          <w:szCs w:val="28"/>
        </w:rPr>
        <w:t>Internet</w:t>
      </w:r>
      <w:proofErr w:type="spellEnd"/>
      <w:r w:rsidRPr="00193057">
        <w:rPr>
          <w:rFonts w:ascii="Times New Roman" w:hAnsi="Times New Roman"/>
          <w:sz w:val="28"/>
          <w:szCs w:val="28"/>
        </w:rPr>
        <w:t xml:space="preserve">. Обычно провайдеры услуг </w:t>
      </w:r>
      <w:proofErr w:type="spellStart"/>
      <w:r w:rsidRPr="00193057">
        <w:rPr>
          <w:rFonts w:ascii="Times New Roman" w:hAnsi="Times New Roman"/>
          <w:sz w:val="28"/>
          <w:szCs w:val="28"/>
        </w:rPr>
        <w:t>Internet</w:t>
      </w:r>
      <w:proofErr w:type="spellEnd"/>
      <w:r w:rsidRPr="00193057">
        <w:rPr>
          <w:rFonts w:ascii="Times New Roman" w:hAnsi="Times New Roman"/>
          <w:sz w:val="28"/>
          <w:szCs w:val="28"/>
        </w:rPr>
        <w:t xml:space="preserve"> получают диапазоны адресов у подразделений INIC, а затем распределяют их между своими абонентами.</w:t>
      </w: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>Номер узла в протоколе IP назначается независимо от локального адреса узла. Деление IP-адреса на поле номера сети и номера узла - гибкое, и граница между этими полями может устанавливаться весьма произвольно. Узел может входить в несколько IP-сетей. В этом случае узел должен иметь несколько IP-адресов, по числу сетевых связей. Таким образом IP-адрес характеризует не отдельный компьютер или маршрутизатор, а одно сетевое соединение.</w:t>
      </w:r>
    </w:p>
    <w:p w:rsidR="00B12E00" w:rsidRPr="00193057" w:rsidRDefault="00B12E00" w:rsidP="00193057">
      <w:pPr>
        <w:pStyle w:val="a4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93057">
        <w:rPr>
          <w:rFonts w:ascii="Times New Roman" w:hAnsi="Times New Roman"/>
          <w:sz w:val="28"/>
          <w:szCs w:val="28"/>
        </w:rPr>
        <w:t xml:space="preserve">Символьный идентификатор-имя, например, SERV1.IBM.COM. Этот адрес назначается администратором и состоит из нескольких частей, например, имени машины, имени организации, имени домена. Такой адрес, называемый также DNS-именем, используется на прикладном уровне, например, в протоколах FTP или </w:t>
      </w:r>
      <w:proofErr w:type="spellStart"/>
      <w:r w:rsidRPr="00193057">
        <w:rPr>
          <w:rFonts w:ascii="Times New Roman" w:hAnsi="Times New Roman"/>
          <w:sz w:val="28"/>
          <w:szCs w:val="28"/>
        </w:rPr>
        <w:t>telnet</w:t>
      </w:r>
      <w:proofErr w:type="spellEnd"/>
      <w:r w:rsidRPr="00193057">
        <w:rPr>
          <w:rFonts w:ascii="Times New Roman" w:hAnsi="Times New Roman"/>
          <w:sz w:val="28"/>
          <w:szCs w:val="28"/>
        </w:rPr>
        <w:t>.</w:t>
      </w:r>
    </w:p>
    <w:p w:rsidR="00B12E00" w:rsidRPr="00B12E00" w:rsidRDefault="00B12E00" w:rsidP="00193057">
      <w:pPr>
        <w:ind w:firstLine="360"/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lastRenderedPageBreak/>
        <w:t>Адрес состоит из двух логических частей - номера сети и номера узла в сети. Какая часть адреса относится к номеру сети, а какая к номеру узла, определяется значениями первых битов адреса:</w:t>
      </w:r>
    </w:p>
    <w:p w:rsidR="00B12E00" w:rsidRPr="00193057" w:rsidRDefault="00B12E00" w:rsidP="00193057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193057">
        <w:rPr>
          <w:rFonts w:ascii="Times New Roman" w:hAnsi="Times New Roman"/>
          <w:sz w:val="28"/>
          <w:szCs w:val="28"/>
        </w:rPr>
        <w:t xml:space="preserve">Если адрес начинается с 0, то сеть относят к классу А, и номер сети занимает один байт, остальные 3 байта интерпретируются как номер узла в сети. Сети класса А имеют номера в диапазоне от 1 до 126. (Номер 0 не используется, а номер 127 зарезервирован для специальных целей, о чем будет сказано ниже.) В сетях класса А количество узлов должно быть больше </w:t>
      </w:r>
      <w:proofErr w:type="gramStart"/>
      <w:r w:rsidRPr="00193057">
        <w:rPr>
          <w:rFonts w:ascii="Times New Roman" w:hAnsi="Times New Roman"/>
          <w:sz w:val="28"/>
          <w:szCs w:val="28"/>
        </w:rPr>
        <w:t>216 ,</w:t>
      </w:r>
      <w:proofErr w:type="gramEnd"/>
      <w:r w:rsidRPr="00193057">
        <w:rPr>
          <w:rFonts w:ascii="Times New Roman" w:hAnsi="Times New Roman"/>
          <w:sz w:val="28"/>
          <w:szCs w:val="28"/>
        </w:rPr>
        <w:t xml:space="preserve"> но не превышать 224.</w:t>
      </w:r>
    </w:p>
    <w:p w:rsidR="00B12E00" w:rsidRPr="00193057" w:rsidRDefault="00B12E00" w:rsidP="00193057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193057">
        <w:rPr>
          <w:rFonts w:ascii="Times New Roman" w:hAnsi="Times New Roman"/>
          <w:sz w:val="28"/>
          <w:szCs w:val="28"/>
        </w:rPr>
        <w:t>Если первые два бита адреса равны 10, то сеть относится к классу В и является сетью средних размеров с числом узлов 28 - 216. В сетях класса В под адрес сети и под адрес узла отводится по 16 битов, то есть по 2 байта.</w:t>
      </w:r>
    </w:p>
    <w:p w:rsidR="00B12E00" w:rsidRPr="00193057" w:rsidRDefault="00B12E00" w:rsidP="00193057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193057">
        <w:rPr>
          <w:rFonts w:ascii="Times New Roman" w:hAnsi="Times New Roman"/>
          <w:sz w:val="28"/>
          <w:szCs w:val="28"/>
        </w:rPr>
        <w:t xml:space="preserve">Если адрес начинается с последовательности 110, то это сеть класса С </w:t>
      </w:r>
      <w:proofErr w:type="spellStart"/>
      <w:r w:rsidRPr="00193057">
        <w:rPr>
          <w:rFonts w:ascii="Times New Roman" w:hAnsi="Times New Roman"/>
          <w:sz w:val="28"/>
          <w:szCs w:val="28"/>
        </w:rPr>
        <w:t>с</w:t>
      </w:r>
      <w:proofErr w:type="spellEnd"/>
      <w:r w:rsidRPr="00193057">
        <w:rPr>
          <w:rFonts w:ascii="Times New Roman" w:hAnsi="Times New Roman"/>
          <w:sz w:val="28"/>
          <w:szCs w:val="28"/>
        </w:rPr>
        <w:t xml:space="preserve"> числом узлов не больше 28. Под адрес сети отводится 24 бита, а под адрес узла - 8 битов.</w:t>
      </w:r>
    </w:p>
    <w:p w:rsidR="00B12E00" w:rsidRPr="00193057" w:rsidRDefault="00B12E00" w:rsidP="00193057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193057">
        <w:rPr>
          <w:rFonts w:ascii="Times New Roman" w:hAnsi="Times New Roman"/>
          <w:sz w:val="28"/>
          <w:szCs w:val="28"/>
        </w:rPr>
        <w:t xml:space="preserve">Если адрес начинается с последовательности 1110, то он является адресом класса D и обозначает особый, групповой адрес - </w:t>
      </w:r>
      <w:proofErr w:type="spellStart"/>
      <w:r w:rsidRPr="00193057">
        <w:rPr>
          <w:rFonts w:ascii="Times New Roman" w:hAnsi="Times New Roman"/>
          <w:sz w:val="28"/>
          <w:szCs w:val="28"/>
        </w:rPr>
        <w:t>multicast</w:t>
      </w:r>
      <w:proofErr w:type="spellEnd"/>
      <w:r w:rsidRPr="00193057">
        <w:rPr>
          <w:rFonts w:ascii="Times New Roman" w:hAnsi="Times New Roman"/>
          <w:sz w:val="28"/>
          <w:szCs w:val="28"/>
        </w:rPr>
        <w:t>. Если в пакете в качестве адреса назначения указан адрес класса D, то такой пакет должны получить все узлы, которым присвоен данный адрес.</w:t>
      </w:r>
    </w:p>
    <w:p w:rsidR="00B12E00" w:rsidRPr="00193057" w:rsidRDefault="00B12E00" w:rsidP="00193057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193057">
        <w:rPr>
          <w:rFonts w:ascii="Times New Roman" w:hAnsi="Times New Roman"/>
          <w:sz w:val="28"/>
          <w:szCs w:val="28"/>
        </w:rPr>
        <w:t>Если адрес начинается с последовательности 11110, то это адрес класса Е, он зарезервирован для будущих применений.</w:t>
      </w:r>
    </w:p>
    <w:p w:rsidR="00193057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 xml:space="preserve">В протоколе IP-адрес узла, то есть адрес компьютера или порта маршрутизатора, назначается произвольно администратором сети и прямо не связан с его локальным адресом. </w:t>
      </w: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 xml:space="preserve">Локальный адрес используется в протоколе IP только в пределах локальной сети при обмене данными между маршрутизатором и узлом этой сети. Маршрутизатор, получив пакет для узла одной из сетей, непосредственно подключенных к его портам, должен для передачи пакета сформировать кадр в соответствии с требованиями принятой в этой сети технологии и указать в нем локальный адрес узла, </w:t>
      </w:r>
      <w:proofErr w:type="gramStart"/>
      <w:r w:rsidRPr="00B12E00">
        <w:rPr>
          <w:rFonts w:ascii="Times New Roman" w:hAnsi="Times New Roman"/>
          <w:sz w:val="28"/>
          <w:szCs w:val="28"/>
        </w:rPr>
        <w:t>например</w:t>
      </w:r>
      <w:proofErr w:type="gramEnd"/>
      <w:r w:rsidRPr="00B12E00">
        <w:rPr>
          <w:rFonts w:ascii="Times New Roman" w:hAnsi="Times New Roman"/>
          <w:sz w:val="28"/>
          <w:szCs w:val="28"/>
        </w:rPr>
        <w:t xml:space="preserve"> его МАС-адрес. В пришедшем пакете этот адрес не указан, поэтому перед маршрутизатором встает задача поиска его по известному IP-адресу, который указан в пакете в качестве адреса назначения. С аналогичной задачей сталкивается и конечный узел, когда он хочет отправить пакет в удаленную сеть через маршрутизатор, подключенный к той же локальной сети, что и данный узел.</w:t>
      </w:r>
    </w:p>
    <w:p w:rsidR="00B12E00" w:rsidRPr="00B12E00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lastRenderedPageBreak/>
        <w:t>Для определения локального адреса по IP-адресу используется протокол разрешения адреса ARP. Протокол ARP работает различным образом в зависимости от того, какой протокол канального уровня работает в данной сети - протокол локальной сети (</w:t>
      </w:r>
      <w:proofErr w:type="spellStart"/>
      <w:r w:rsidRPr="00B12E00">
        <w:rPr>
          <w:rFonts w:ascii="Times New Roman" w:hAnsi="Times New Roman"/>
          <w:sz w:val="28"/>
          <w:szCs w:val="28"/>
        </w:rPr>
        <w:t>Ethernet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12E00">
        <w:rPr>
          <w:rFonts w:ascii="Times New Roman" w:hAnsi="Times New Roman"/>
          <w:sz w:val="28"/>
          <w:szCs w:val="28"/>
        </w:rPr>
        <w:t>Token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E00">
        <w:rPr>
          <w:rFonts w:ascii="Times New Roman" w:hAnsi="Times New Roman"/>
          <w:sz w:val="28"/>
          <w:szCs w:val="28"/>
        </w:rPr>
        <w:t>Ring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, FDDI) с возможностью широковещательного доступа одновременно ко всем узлам сети, или же протокол глобальной сети (X.25, </w:t>
      </w:r>
      <w:proofErr w:type="spellStart"/>
      <w:r w:rsidRPr="00B12E00">
        <w:rPr>
          <w:rFonts w:ascii="Times New Roman" w:hAnsi="Times New Roman"/>
          <w:sz w:val="28"/>
          <w:szCs w:val="28"/>
        </w:rPr>
        <w:t>frame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2E00">
        <w:rPr>
          <w:rFonts w:ascii="Times New Roman" w:hAnsi="Times New Roman"/>
          <w:sz w:val="28"/>
          <w:szCs w:val="28"/>
        </w:rPr>
        <w:t>relay</w:t>
      </w:r>
      <w:proofErr w:type="spellEnd"/>
      <w:r w:rsidRPr="00B12E00">
        <w:rPr>
          <w:rFonts w:ascii="Times New Roman" w:hAnsi="Times New Roman"/>
          <w:sz w:val="28"/>
          <w:szCs w:val="28"/>
        </w:rPr>
        <w:t>), как правило не поддерживающий широковещательный доступ. Существует также протокол, решающий обратную задачу - нахождение IP-адреса по известному локальному адресу. Он называется реверсивный ARP - RARP и используется при старте бездисковых станций, не знающих в начальный момент своего IP-адреса, но знающих адрес своего сетевого адаптера.</w:t>
      </w:r>
    </w:p>
    <w:p w:rsidR="00B12E00" w:rsidRPr="00875ACC" w:rsidRDefault="00B12E00" w:rsidP="00B12E00">
      <w:pPr>
        <w:rPr>
          <w:rFonts w:ascii="Times New Roman" w:hAnsi="Times New Roman"/>
          <w:sz w:val="28"/>
          <w:szCs w:val="28"/>
        </w:rPr>
      </w:pPr>
      <w:r w:rsidRPr="00B12E00">
        <w:rPr>
          <w:rFonts w:ascii="Times New Roman" w:hAnsi="Times New Roman"/>
          <w:sz w:val="28"/>
          <w:szCs w:val="28"/>
        </w:rPr>
        <w:t xml:space="preserve">Преобразование адресов выполняется путем поиска в таблице. Эта таблица, называемая ARP-таблицей, хранится в памяти и содержит строки для каждого узла сети. В двух столбцах содержатся IP- и </w:t>
      </w:r>
      <w:proofErr w:type="spellStart"/>
      <w:r w:rsidRPr="00B12E00">
        <w:rPr>
          <w:rFonts w:ascii="Times New Roman" w:hAnsi="Times New Roman"/>
          <w:sz w:val="28"/>
          <w:szCs w:val="28"/>
        </w:rPr>
        <w:t>Ethernet</w:t>
      </w:r>
      <w:proofErr w:type="spellEnd"/>
      <w:r w:rsidRPr="00B12E00">
        <w:rPr>
          <w:rFonts w:ascii="Times New Roman" w:hAnsi="Times New Roman"/>
          <w:sz w:val="28"/>
          <w:szCs w:val="28"/>
        </w:rPr>
        <w:t xml:space="preserve">-адреса. Если требуется преобразовать IP-адрес в </w:t>
      </w:r>
      <w:proofErr w:type="spellStart"/>
      <w:r w:rsidRPr="00B12E00">
        <w:rPr>
          <w:rFonts w:ascii="Times New Roman" w:hAnsi="Times New Roman"/>
          <w:sz w:val="28"/>
          <w:szCs w:val="28"/>
        </w:rPr>
        <w:t>Ethernet</w:t>
      </w:r>
      <w:proofErr w:type="spellEnd"/>
      <w:r w:rsidRPr="00B12E00">
        <w:rPr>
          <w:rFonts w:ascii="Times New Roman" w:hAnsi="Times New Roman"/>
          <w:sz w:val="28"/>
          <w:szCs w:val="28"/>
        </w:rPr>
        <w:t>-адрес, то ищется запись с соответствующим IP-адресом.</w:t>
      </w:r>
      <w:bookmarkStart w:id="0" w:name="_GoBack"/>
      <w:bookmarkEnd w:id="0"/>
    </w:p>
    <w:sectPr w:rsidR="00B12E00" w:rsidRPr="00875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35D91"/>
    <w:multiLevelType w:val="multilevel"/>
    <w:tmpl w:val="9534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2F7836"/>
    <w:multiLevelType w:val="multilevel"/>
    <w:tmpl w:val="24E2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140C0"/>
    <w:multiLevelType w:val="multilevel"/>
    <w:tmpl w:val="A452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A1015"/>
    <w:multiLevelType w:val="multilevel"/>
    <w:tmpl w:val="45AA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56CE1"/>
    <w:multiLevelType w:val="hybridMultilevel"/>
    <w:tmpl w:val="616A7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03680"/>
    <w:multiLevelType w:val="multilevel"/>
    <w:tmpl w:val="325A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615DE8"/>
    <w:multiLevelType w:val="multilevel"/>
    <w:tmpl w:val="A68E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AC70C4"/>
    <w:multiLevelType w:val="hybridMultilevel"/>
    <w:tmpl w:val="4288E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E044DE"/>
    <w:multiLevelType w:val="hybridMultilevel"/>
    <w:tmpl w:val="7520A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E5"/>
    <w:rsid w:val="00193057"/>
    <w:rsid w:val="00875ACC"/>
    <w:rsid w:val="00B12E00"/>
    <w:rsid w:val="00B761E5"/>
    <w:rsid w:val="00BF1F5B"/>
    <w:rsid w:val="00F0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5209"/>
  <w15:chartTrackingRefBased/>
  <w15:docId w15:val="{63AFB8D6-01AD-46B2-BCCC-E85159F0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00"/>
    <w:pPr>
      <w:spacing w:after="200" w:line="276" w:lineRule="auto"/>
    </w:pPr>
    <w:rPr>
      <w:rFonts w:ascii="Calibri" w:eastAsia="Times New Roman" w:hAnsi="Calibri" w:cs="Times New Roman"/>
    </w:rPr>
  </w:style>
  <w:style w:type="paragraph" w:styleId="3">
    <w:name w:val="heading 3"/>
    <w:basedOn w:val="a"/>
    <w:link w:val="30"/>
    <w:uiPriority w:val="9"/>
    <w:qFormat/>
    <w:rsid w:val="00B12E00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2E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2E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B1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2019-11-16T06:48:00Z</dcterms:created>
  <dcterms:modified xsi:type="dcterms:W3CDTF">2019-11-16T07:21:00Z</dcterms:modified>
</cp:coreProperties>
</file>