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8B1242" w:rsidRDefault="008B1242" w:rsidP="008B124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 xml:space="preserve">МДК 02.01. 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Моделирование и анализ программного обеспечения»</w:t>
      </w: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Дизассемблирование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8B1242" w:rsidRDefault="008B1242" w:rsidP="008B124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3829F4"/>
    <w:p w:rsidR="003829F4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b/>
          <w:sz w:val="28"/>
        </w:rPr>
        <w:lastRenderedPageBreak/>
        <w:t>Дизассемблирование</w:t>
      </w:r>
      <w:r w:rsidRPr="008B1242">
        <w:rPr>
          <w:rFonts w:ascii="Times New Roman" w:hAnsi="Times New Roman"/>
          <w:sz w:val="28"/>
        </w:rPr>
        <w:t xml:space="preserve"> – преобразование программы на машинном языке к ее ассемблерному представлению. Декомпиляция – получение кода языка высокого уровня из программы на машинном языке или ассемблере.</w:t>
      </w:r>
    </w:p>
    <w:p w:rsidR="003829F4" w:rsidRDefault="003829F4" w:rsidP="003829F4">
      <w:pPr>
        <w:spacing w:after="0"/>
        <w:ind w:firstLine="708"/>
        <w:rPr>
          <w:rFonts w:ascii="Times New Roman" w:hAnsi="Times New Roman"/>
          <w:b/>
          <w:sz w:val="28"/>
        </w:rPr>
      </w:pPr>
    </w:p>
    <w:p w:rsidR="008B1242" w:rsidRPr="008B1242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t>Декомпиляция</w:t>
      </w:r>
      <w:r w:rsidRPr="008B1242">
        <w:rPr>
          <w:rFonts w:ascii="Times New Roman" w:hAnsi="Times New Roman"/>
          <w:sz w:val="28"/>
        </w:rPr>
        <w:t xml:space="preserve"> – достаточно сложный процесс. Это обусловлено следующими причинами: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Процесс компиляции происходит с потерями. В машинном языке нет имен переменных и функций, и тип данных может быть определен только по производимым над ними операциям. Наблюдая пересылку 32-х бит данных, требуется значительная работа, чтобы определить, являются ли эти данные целым числом, дробью или указателем.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Компиляция это операция типа множество-</w:t>
      </w:r>
      <w:proofErr w:type="spellStart"/>
      <w:r w:rsidRPr="008B1242">
        <w:rPr>
          <w:rFonts w:ascii="Times New Roman" w:hAnsi="Times New Roman"/>
          <w:sz w:val="28"/>
        </w:rPr>
        <w:t>множество</w:t>
      </w:r>
      <w:proofErr w:type="gramStart"/>
      <w:r w:rsidRPr="008B1242">
        <w:rPr>
          <w:rFonts w:ascii="Times New Roman" w:hAnsi="Times New Roman"/>
          <w:sz w:val="28"/>
        </w:rPr>
        <w:t>.К</w:t>
      </w:r>
      <w:proofErr w:type="gramEnd"/>
      <w:r w:rsidRPr="008B1242">
        <w:rPr>
          <w:rFonts w:ascii="Times New Roman" w:hAnsi="Times New Roman"/>
          <w:sz w:val="28"/>
        </w:rPr>
        <w:t>омпиляция</w:t>
      </w:r>
      <w:proofErr w:type="spellEnd"/>
      <w:r w:rsidRPr="008B1242">
        <w:rPr>
          <w:rFonts w:ascii="Times New Roman" w:hAnsi="Times New Roman"/>
          <w:sz w:val="28"/>
        </w:rPr>
        <w:t xml:space="preserve"> и декомпиляция могут быть выполнены множеством способов. Поэтому результат декомпиляции может значительно отличаться от исходного кода.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 xml:space="preserve">− </w:t>
      </w:r>
      <w:proofErr w:type="spellStart"/>
      <w:r w:rsidRPr="008B1242">
        <w:rPr>
          <w:rFonts w:ascii="Times New Roman" w:hAnsi="Times New Roman"/>
          <w:sz w:val="28"/>
        </w:rPr>
        <w:t>Декомпиляторы</w:t>
      </w:r>
      <w:proofErr w:type="spellEnd"/>
      <w:r w:rsidRPr="008B1242">
        <w:rPr>
          <w:rFonts w:ascii="Times New Roman" w:hAnsi="Times New Roman"/>
          <w:sz w:val="28"/>
        </w:rPr>
        <w:t xml:space="preserve"> в значительной степени зависимы от конкретного языка и библиотек. Обрабатывая исполняемый файл, созданный компилятором </w:t>
      </w:r>
      <w:proofErr w:type="spellStart"/>
      <w:r w:rsidRPr="008B1242">
        <w:rPr>
          <w:rFonts w:ascii="Times New Roman" w:hAnsi="Times New Roman"/>
          <w:sz w:val="28"/>
        </w:rPr>
        <w:t>Delphi</w:t>
      </w:r>
      <w:proofErr w:type="spellEnd"/>
      <w:r w:rsidRPr="008B1242">
        <w:rPr>
          <w:rFonts w:ascii="Times New Roman" w:hAnsi="Times New Roman"/>
          <w:sz w:val="28"/>
        </w:rPr>
        <w:t xml:space="preserve">, </w:t>
      </w:r>
      <w:proofErr w:type="spellStart"/>
      <w:r w:rsidRPr="008B1242">
        <w:rPr>
          <w:rFonts w:ascii="Times New Roman" w:hAnsi="Times New Roman"/>
          <w:sz w:val="28"/>
        </w:rPr>
        <w:t>декомпилятором</w:t>
      </w:r>
      <w:proofErr w:type="spellEnd"/>
      <w:r w:rsidRPr="008B1242">
        <w:rPr>
          <w:rFonts w:ascii="Times New Roman" w:hAnsi="Times New Roman"/>
          <w:sz w:val="28"/>
        </w:rPr>
        <w:t>, разработанным для C, можно получить фантастический результат. 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Необходимо точное дизассемблирование исполняемого файла. Любая ошибка или упущение на фазе дизассемблирования практически наверняка размножатся в результирующем коде.</w:t>
      </w:r>
    </w:p>
    <w:p w:rsidR="003829F4" w:rsidRDefault="003829F4" w:rsidP="003829F4">
      <w:pPr>
        <w:spacing w:after="0"/>
        <w:ind w:firstLine="708"/>
        <w:rPr>
          <w:rFonts w:ascii="Times New Roman" w:hAnsi="Times New Roman"/>
          <w:b/>
          <w:sz w:val="28"/>
        </w:rPr>
      </w:pPr>
    </w:p>
    <w:p w:rsidR="003829F4" w:rsidRDefault="003829F4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t>Зачем нужно дизассемблирование?</w:t>
      </w:r>
      <w:r w:rsidR="008B1242" w:rsidRPr="008B1242">
        <w:rPr>
          <w:rFonts w:ascii="Times New Roman" w:hAnsi="Times New Roman"/>
          <w:sz w:val="28"/>
        </w:rPr>
        <w:t xml:space="preserve"> Цель инструментов дизассемблирования заключается в содействии исследованию функционирования программ, когда их исходные коды не доступны. </w:t>
      </w: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Наиболее распространенные цели дизассемблирования: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анализ вредоносного программного обеспечения;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анализ уязвимостей программного обеспечения с закрытым исходным кодом;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анализ совместимости программного обеспечения с закрытым исходным кодом;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 xml:space="preserve">− </w:t>
      </w:r>
      <w:proofErr w:type="spellStart"/>
      <w:r w:rsidRPr="008B1242">
        <w:rPr>
          <w:rFonts w:ascii="Times New Roman" w:hAnsi="Times New Roman"/>
          <w:sz w:val="28"/>
        </w:rPr>
        <w:t>валидация</w:t>
      </w:r>
      <w:proofErr w:type="spellEnd"/>
      <w:r w:rsidRPr="008B1242">
        <w:rPr>
          <w:rFonts w:ascii="Times New Roman" w:hAnsi="Times New Roman"/>
          <w:sz w:val="28"/>
        </w:rPr>
        <w:t xml:space="preserve"> компилятора;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− отображение команд программы в процессе отладки.</w:t>
      </w: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</w:p>
    <w:p w:rsidR="008B1242" w:rsidRPr="003829F4" w:rsidRDefault="008B1242" w:rsidP="003829F4">
      <w:pPr>
        <w:spacing w:after="0"/>
        <w:ind w:firstLine="708"/>
        <w:rPr>
          <w:rFonts w:ascii="Times New Roman" w:hAnsi="Times New Roman"/>
          <w:b/>
          <w:sz w:val="28"/>
        </w:rPr>
      </w:pPr>
      <w:r w:rsidRPr="003829F4">
        <w:rPr>
          <w:rFonts w:ascii="Times New Roman" w:hAnsi="Times New Roman"/>
          <w:b/>
          <w:sz w:val="28"/>
        </w:rPr>
        <w:lastRenderedPageBreak/>
        <w:t>Базовый алгоритм дизассемблирования</w:t>
      </w:r>
      <w:r w:rsidR="003829F4">
        <w:rPr>
          <w:rFonts w:ascii="Times New Roman" w:hAnsi="Times New Roman"/>
          <w:b/>
          <w:sz w:val="28"/>
        </w:rPr>
        <w:t>:</w:t>
      </w:r>
      <w:bookmarkStart w:id="0" w:name="_GoBack"/>
      <w:bookmarkEnd w:id="0"/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Шаг 1. Первым шагом в процессе дизассемблирования является идентификация кодового сегмента. Так как команды обычно смешаны с данными, то дизассемблеру необходимо их разграничить. 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 xml:space="preserve">Шаг 2. Получив адрес первой команды, необходимо прочитать значение, содержащееся по этому адресу (или смещению в файле) и выполнить табличное преобразование двоичного кода операции </w:t>
      </w:r>
      <w:proofErr w:type="gramStart"/>
      <w:r w:rsidRPr="008B1242">
        <w:rPr>
          <w:rFonts w:ascii="Times New Roman" w:hAnsi="Times New Roman"/>
          <w:sz w:val="28"/>
        </w:rPr>
        <w:t>в соответствую</w:t>
      </w:r>
      <w:proofErr w:type="gramEnd"/>
      <w:r w:rsidRPr="008B1242">
        <w:rPr>
          <w:rFonts w:ascii="Times New Roman" w:hAnsi="Times New Roman"/>
          <w:sz w:val="28"/>
        </w:rPr>
        <w:t xml:space="preserve"> ему мнемонику языка ассемблера.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Шаг 3. Как только команда была обнаружена и декодирована, ее ассемблерный эквивалент может быть добавлен к результирующему листингу. После этого необходимо выбрать одну из разновидностей синтаксиса языка ассемблера. 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Шаг 4. Далее необходимо перейти к следующей команде и повторить предыдущие шаги до тех пор, пока каждая команда файла не будет дизассемблирована.</w:t>
      </w:r>
    </w:p>
    <w:p w:rsidR="003829F4" w:rsidRDefault="003829F4" w:rsidP="003829F4">
      <w:pPr>
        <w:spacing w:after="0"/>
        <w:rPr>
          <w:rFonts w:ascii="Times New Roman" w:hAnsi="Times New Roman"/>
          <w:sz w:val="28"/>
        </w:rPr>
      </w:pPr>
    </w:p>
    <w:p w:rsidR="003829F4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t>Анализ вредоносного программного обеспечения.</w:t>
      </w:r>
      <w:r w:rsidRPr="008B1242">
        <w:rPr>
          <w:rFonts w:ascii="Times New Roman" w:hAnsi="Times New Roman"/>
          <w:sz w:val="28"/>
        </w:rPr>
        <w:t xml:space="preserve"> 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Разработчики вредоносного программного обеспечения вряд ли предоставят исходный код своего детища. А без доступа к исходному коду, будет довольно сложно определить поведение вредоносной программы. Существуют два основных метода исследования вредоносных программ - динамический и статический анализ. Динамический анализ заключается в исполнении программы в тщательно контролируемом окружении (песочнице) и записи каждого ее действия. Статический анализ основан на разборе исходного кода, который, в случае вредоносной программы, в основном состоит из дизассемблированных листингов.</w:t>
      </w:r>
    </w:p>
    <w:p w:rsidR="003829F4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t>Анализ уязвимостей</w:t>
      </w:r>
      <w:r w:rsidRPr="008B1242">
        <w:rPr>
          <w:rFonts w:ascii="Times New Roman" w:hAnsi="Times New Roman"/>
          <w:sz w:val="28"/>
        </w:rPr>
        <w:t xml:space="preserve">. 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 xml:space="preserve">Для простоты, можно разделить процесс аудита безопасности на три стадии: поиск уязвимостей, анализ уязвимостей, и разработка </w:t>
      </w:r>
      <w:proofErr w:type="spellStart"/>
      <w:r w:rsidRPr="008B1242">
        <w:rPr>
          <w:rFonts w:ascii="Times New Roman" w:hAnsi="Times New Roman"/>
          <w:sz w:val="28"/>
        </w:rPr>
        <w:t>эксплойта</w:t>
      </w:r>
      <w:proofErr w:type="spellEnd"/>
      <w:r w:rsidRPr="008B1242">
        <w:rPr>
          <w:rFonts w:ascii="Times New Roman" w:hAnsi="Times New Roman"/>
          <w:sz w:val="28"/>
        </w:rPr>
        <w:t xml:space="preserve">. Одни и те же шаги предпринимаются вне зависимости от того, имеется ли у вас исходный код; однако, уровень трудоемкости резко возрастает, когда в вашем распоряжении есть лишь исполняемый файл. Первый шаг - исследование потенциально уязвимых условий в программе. Это зачастую достигается использованием динамических техник, таких как </w:t>
      </w:r>
      <w:proofErr w:type="spellStart"/>
      <w:r w:rsidRPr="008B1242">
        <w:rPr>
          <w:rFonts w:ascii="Times New Roman" w:hAnsi="Times New Roman"/>
          <w:sz w:val="28"/>
        </w:rPr>
        <w:t>фаззинг</w:t>
      </w:r>
      <w:proofErr w:type="spellEnd"/>
      <w:r w:rsidRPr="008B1242">
        <w:rPr>
          <w:rFonts w:ascii="Times New Roman" w:hAnsi="Times New Roman"/>
          <w:sz w:val="28"/>
        </w:rPr>
        <w:t xml:space="preserve">, однако также может быть реализовано (обычно со </w:t>
      </w:r>
      <w:proofErr w:type="gramStart"/>
      <w:r w:rsidRPr="008B1242">
        <w:rPr>
          <w:rFonts w:ascii="Times New Roman" w:hAnsi="Times New Roman"/>
          <w:sz w:val="28"/>
        </w:rPr>
        <w:t>значительно большими</w:t>
      </w:r>
      <w:proofErr w:type="gramEnd"/>
      <w:r w:rsidRPr="008B1242">
        <w:rPr>
          <w:rFonts w:ascii="Times New Roman" w:hAnsi="Times New Roman"/>
          <w:sz w:val="28"/>
        </w:rPr>
        <w:t xml:space="preserve"> усилиями) посредством статического анализа. Как только проблема обнаружена, требуется определить, является ли она уязвимостью и если да, то при каких условиях.</w:t>
      </w:r>
    </w:p>
    <w:p w:rsidR="003829F4" w:rsidRDefault="003829F4" w:rsidP="003829F4">
      <w:pPr>
        <w:spacing w:after="0"/>
        <w:ind w:firstLine="708"/>
        <w:rPr>
          <w:rFonts w:ascii="Times New Roman" w:hAnsi="Times New Roman"/>
          <w:b/>
          <w:sz w:val="28"/>
        </w:rPr>
      </w:pPr>
    </w:p>
    <w:p w:rsidR="008B1242" w:rsidRPr="008B1242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lastRenderedPageBreak/>
        <w:t>Листинг дизассемблирования</w:t>
      </w:r>
      <w:r w:rsidRPr="008B1242">
        <w:rPr>
          <w:rFonts w:ascii="Times New Roman" w:hAnsi="Times New Roman"/>
          <w:sz w:val="28"/>
        </w:rPr>
        <w:t xml:space="preserve"> помогает понять, каким образом компилятор расположил переменные в памяти. Например, может быть </w:t>
      </w:r>
      <w:proofErr w:type="gramStart"/>
      <w:r w:rsidRPr="008B1242">
        <w:rPr>
          <w:rFonts w:ascii="Times New Roman" w:hAnsi="Times New Roman"/>
          <w:sz w:val="28"/>
        </w:rPr>
        <w:t>полезно</w:t>
      </w:r>
      <w:proofErr w:type="gramEnd"/>
      <w:r w:rsidRPr="008B1242">
        <w:rPr>
          <w:rFonts w:ascii="Times New Roman" w:hAnsi="Times New Roman"/>
          <w:sz w:val="28"/>
        </w:rPr>
        <w:t xml:space="preserve"> узнать, что объявленный программистом 70-байтный массив символов при распределении памяти компилятором был округлен в сторону 80 байт. Листинги дизассемблирования также предоставляют единственный способ понять, объявлены ли переменные глобально или внутри функций. Понимание реального расположения переменных в памяти жизненно важно при разработке эксплойтов.</w:t>
      </w:r>
    </w:p>
    <w:p w:rsidR="003829F4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t>Анализ совместимости.</w:t>
      </w:r>
      <w:r w:rsidRPr="008B1242">
        <w:rPr>
          <w:rFonts w:ascii="Times New Roman" w:hAnsi="Times New Roman"/>
          <w:sz w:val="28"/>
        </w:rPr>
        <w:t xml:space="preserve"> 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Когда программы доступны только в виде исполняемых файлов, сторонним разработчикам крайне сложно обеспечить совместимость с ними своих программ, а также расширить их функциональность. Например, если производитель не предоставил драйвер для аппаратного устройства, то реверс инжиниринг – практически единственное средство для разработки альтернативных драйверов.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Валидация компилятора. Дизассемблирование может быть средством для проверки соответствия работы компилятора его спецификации. Также исследователя может заинтересовать наличие дополнительных возможностей, оптимизирующих результат компиляции. С точки зрения безопасности важно быть уверенным, что код, генерируемый компилятором, не содержит черных ходов.</w:t>
      </w:r>
    </w:p>
    <w:p w:rsidR="003829F4" w:rsidRDefault="008B1242" w:rsidP="003829F4">
      <w:pPr>
        <w:spacing w:after="0"/>
        <w:ind w:firstLine="708"/>
        <w:rPr>
          <w:rFonts w:ascii="Times New Roman" w:hAnsi="Times New Roman"/>
          <w:sz w:val="28"/>
        </w:rPr>
      </w:pPr>
      <w:r w:rsidRPr="003829F4">
        <w:rPr>
          <w:rFonts w:ascii="Times New Roman" w:hAnsi="Times New Roman"/>
          <w:b/>
          <w:sz w:val="28"/>
        </w:rPr>
        <w:t>Отладка.</w:t>
      </w:r>
      <w:r w:rsidRPr="008B1242">
        <w:rPr>
          <w:rFonts w:ascii="Times New Roman" w:hAnsi="Times New Roman"/>
          <w:sz w:val="28"/>
        </w:rPr>
        <w:t xml:space="preserve"> </w:t>
      </w:r>
    </w:p>
    <w:p w:rsidR="008B1242" w:rsidRPr="008B1242" w:rsidRDefault="008B1242" w:rsidP="003829F4">
      <w:pPr>
        <w:spacing w:after="0"/>
        <w:rPr>
          <w:rFonts w:ascii="Times New Roman" w:hAnsi="Times New Roman"/>
          <w:sz w:val="28"/>
        </w:rPr>
      </w:pPr>
      <w:r w:rsidRPr="008B1242">
        <w:rPr>
          <w:rFonts w:ascii="Times New Roman" w:hAnsi="Times New Roman"/>
          <w:sz w:val="28"/>
        </w:rPr>
        <w:t>К сожалению, дизассемблеры, встроенные в отладчики, зачастую малоэффективны (OllyDbg ─ исключение). Они неспособны к серийному дизассемблированию и иногда отказываются дизассемблировать, не будучи в состоянии определить границы функции. Поэтому, для лучшего контроля над процессом отладки, лучше использовать отладчик в сочетании с хорошим дизассемблером.</w:t>
      </w:r>
    </w:p>
    <w:p w:rsidR="008B1242" w:rsidRPr="008B1242" w:rsidRDefault="008B1242" w:rsidP="003829F4">
      <w:pPr>
        <w:spacing w:after="0"/>
      </w:pPr>
      <w:r w:rsidRPr="008B1242">
        <w:t>.</w:t>
      </w:r>
    </w:p>
    <w:p w:rsidR="008B1242" w:rsidRDefault="008B1242" w:rsidP="003829F4">
      <w:pPr>
        <w:spacing w:after="0"/>
      </w:pPr>
    </w:p>
    <w:sectPr w:rsidR="008B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50BC"/>
    <w:multiLevelType w:val="multilevel"/>
    <w:tmpl w:val="18E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0D"/>
    <w:rsid w:val="00242DEF"/>
    <w:rsid w:val="003829F4"/>
    <w:rsid w:val="003B3575"/>
    <w:rsid w:val="007E248E"/>
    <w:rsid w:val="008B1242"/>
    <w:rsid w:val="008C4498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242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2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nswer">
    <w:name w:val="answer"/>
    <w:basedOn w:val="a"/>
    <w:rsid w:val="008B12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242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2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nswer">
    <w:name w:val="answer"/>
    <w:basedOn w:val="a"/>
    <w:rsid w:val="008B12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2019-11-29T10:24:00Z</dcterms:created>
  <dcterms:modified xsi:type="dcterms:W3CDTF">2019-11-29T10:38:00Z</dcterms:modified>
</cp:coreProperties>
</file>