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Intra-Model Validation Tables</w:t>
      </w:r>
    </w:p>
    <w:p>
      <w:pPr>
        <w:pStyle w:val="Titre2"/>
      </w:pPr>
      <w:r>
        <w:t xml:space="preserve">Dataset overview</w:t>
      </w:r>
    </w:p>
    <w:tbl xmlns:a="http://schemas.openxmlformats.org/drawingml/2006/main" xmlns:pic="http://schemas.openxmlformats.org/drawingml/2006/picture">
      <w:tblPr>
        <w:tblLayout w:type="fixed"/>
        <w:jc w:val="center"/>
        <w:tblLook w:firstRow="1" w:lastRow="0" w:firstColumn="0" w:lastColumn="0" w:noHBand="0" w:noVBand="1"/>
      </w:tblPr>
      <w:tblGrid>
        <w:gridCol w:w="3909"/>
        <w:gridCol w:w="961"/>
      </w:tblGrid>
      <w:tr>
        <w:trPr>
          <w:trHeight w:val="57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value</w:t>
            </w:r>
          </w:p>
        </w:tc>
      </w:tr>
      <w:tr>
        <w:trPr>
          <w:trHeight w:val="59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response_rows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1,500</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unique_cases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unique_models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r>
      <w:tr>
        <w:trPr>
          <w:trHeight w:val="61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expected_repeats_per_case_model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r>
      <w:tr>
        <w:trPr>
          <w:trHeight w:val="615"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blank_treatment_plans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bl>
    <w:p>
      <w:pPr>
        <w:pStyle w:val="Normal"/>
      </w:pPr>
      <w:r>
        <w:t xml:space="preserve"/>
      </w:r>
    </w:p>
    <w:p>
      <w:pPr>
        <w:pStyle w:val="Titre2"/>
      </w:pPr>
      <w:r>
        <w:t xml:space="preserve">Repeat-count validation</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230"/>
        <w:gridCol w:w="1621"/>
        <w:gridCol w:w="1682"/>
        <w:gridCol w:w="2331"/>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n_cases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min_repeats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max_repeats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all_have_5_repeats</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true</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true</w:t>
            </w:r>
          </w:p>
        </w:tc>
      </w:tr>
      <w:tr>
        <w:trPr>
          <w:trHeight w:val="57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true</w:t>
            </w:r>
          </w:p>
        </w:tc>
      </w:tr>
    </w:tbl>
    <w:p>
      <w:pPr>
        <w:pStyle w:val="Normal"/>
      </w:pPr>
      <w:r>
        <w:t xml:space="preserve"/>
      </w:r>
    </w:p>
    <w:p>
      <w:pPr>
        <w:pStyle w:val="Titre2"/>
      </w:pPr>
      <w:r>
        <w:t xml:space="preserve">Model-level stability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230"/>
        <w:gridCol w:w="2465"/>
        <w:gridCol w:w="2636"/>
        <w:gridCol w:w="2355"/>
        <w:gridCol w:w="2159"/>
        <w:gridCol w:w="2930"/>
        <w:gridCol w:w="2331"/>
        <w:gridCol w:w="2233"/>
        <w:gridCol w:w="2355"/>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n_cases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mean_variation_ratio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median_variation_ratio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exact_match_cases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exact_match_rate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cases_with_any_variation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max_variation_ratio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krippendorff_alpha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alpha_interpretation</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Low agreement</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Low agreement</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Low agreement</w:t>
            </w:r>
          </w:p>
        </w:tc>
      </w:tr>
    </w:tbl>
    <w:p>
      <w:pPr>
        <w:pStyle w:val="Normal"/>
      </w:pPr>
      <w:r>
        <w:t xml:space="preserve"/>
      </w:r>
    </w:p>
    <w:p>
      <w:pPr>
        <w:pStyle w:val="Titre2"/>
      </w:pPr>
      <w:r>
        <w:t xml:space="preserve">Variation ratio distribution</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793"/>
        <w:gridCol w:w="1230"/>
        <w:gridCol w:w="1842"/>
      </w:tblGrid>
      <w:tr>
        <w:trPr>
          <w:trHeight w:val="60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variation_ratio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n_cases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percent_cases</w:t>
            </w:r>
          </w:p>
        </w:tc>
      </w:tr>
      <w:tr>
        <w:trPr>
          <w:trHeight w:val="61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38.0%</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22.0%</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13.0%</w:t>
            </w:r>
          </w:p>
        </w:tc>
      </w:tr>
      <w:tr>
        <w:trPr>
          <w:trHeight w:val="61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19.0%</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8.0%</w:t>
            </w:r>
          </w:p>
        </w:tc>
      </w:tr>
      <w:tr>
        <w:trPr>
          <w:trHeight w:val="57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4.0%</w:t>
            </w:r>
          </w:p>
        </w:tc>
      </w:tr>
      <w:tr>
        <w:trPr>
          <w:trHeight w:val="57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14.0%</w:t>
            </w:r>
          </w:p>
        </w:tc>
      </w:tr>
      <w:tr>
        <w:trPr>
          <w:trHeight w:val="57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18.0%</w:t>
            </w:r>
          </w:p>
        </w:tc>
      </w:tr>
      <w:tr>
        <w:trPr>
          <w:trHeight w:val="57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37.0%</w:t>
            </w:r>
          </w:p>
        </w:tc>
      </w:tr>
      <w:tr>
        <w:trPr>
          <w:trHeight w:val="57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27.0%</w:t>
            </w:r>
          </w:p>
        </w:tc>
      </w:tr>
      <w:tr>
        <w:trPr>
          <w:trHeight w:val="57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w:t>
            </w:r>
          </w:p>
        </w:tc>
      </w:tr>
      <w:tr>
        <w:trPr>
          <w:trHeight w:val="57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6.0%</w:t>
            </w:r>
          </w:p>
        </w:tc>
      </w:tr>
      <w:tr>
        <w:trPr>
          <w:trHeight w:val="57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16.0%</w:t>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34.0%</w:t>
            </w:r>
          </w:p>
        </w:tc>
      </w:tr>
      <w:tr>
        <w:trPr>
          <w:trHeight w:val="577"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42.0%</w:t>
            </w:r>
          </w:p>
        </w:tc>
      </w:tr>
    </w:tbl>
    <w:p>
      <w:pPr>
        <w:pStyle w:val="Normal"/>
      </w:pPr>
      <w:r>
        <w:t xml:space="preserve"/>
      </w:r>
    </w:p>
    <w:p>
      <w:pPr>
        <w:pStyle w:val="Titre2"/>
      </w:pPr>
      <w:r>
        <w:t xml:space="preserve">Krippendorff's alpha</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2233"/>
        <w:gridCol w:w="1230"/>
        <w:gridCol w:w="1389"/>
        <w:gridCol w:w="192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krippendorff_alpha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n_cases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n_repeats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interpretation</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Low agreement</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Low agreement</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Low agreement</w:t>
            </w:r>
          </w:p>
        </w:tc>
      </w:tr>
    </w:tbl>
    <w:p>
      <w:pPr>
        <w:pStyle w:val="Normal"/>
      </w:pPr>
      <w:r>
        <w:t xml:space="preserve"/>
      </w:r>
    </w:p>
    <w:p>
      <w:pPr>
        <w:pStyle w:val="Titre2"/>
      </w:pPr>
      <w:r>
        <w:t xml:space="preserve">Alpha sensitivity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2863"/>
        <w:gridCol w:w="1695"/>
        <w:gridCol w:w="1866"/>
        <w:gridCol w:w="1242"/>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metric_definition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Active only alpha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0.795</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Active + stop/avoid alpha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0.493</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Full signature alpha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0.142</w:t>
            </w:r>
          </w:p>
        </w:tc>
      </w:tr>
    </w:tbl>
    <w:p>
      <w:pPr>
        <w:pStyle w:val="Normal"/>
      </w:pPr>
      <w:r>
        <w:t xml:space="preserve"/>
      </w:r>
    </w:p>
    <w:p>
      <w:pPr>
        <w:pStyle w:val="Titre2"/>
      </w:pPr>
      <w:r>
        <w:t xml:space="preserve">Medication-column alpha</w:t>
      </w:r>
    </w:p>
    <w:tbl xmlns:a="http://schemas.openxmlformats.org/drawingml/2006/main" xmlns:pic="http://schemas.openxmlformats.org/drawingml/2006/picture">
      <w:tblPr>
        <w:tblLayout w:type="fixed"/>
        <w:jc w:val="center"/>
        <w:tblLook w:firstRow="1" w:lastRow="0" w:firstColumn="0" w:lastColumn="0" w:noHBand="0" w:noVBand="1"/>
      </w:tblPr>
      <w:tblGrid>
        <w:gridCol w:w="3285"/>
        <w:gridCol w:w="1695"/>
        <w:gridCol w:w="1866"/>
        <w:gridCol w:w="1242"/>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metric_definition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r>
      <w:tr>
        <w:trPr>
          <w:trHeight w:val="61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Medication-name alpha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0.798</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Medication-action alpha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0.782</w:t>
            </w:r>
          </w:p>
        </w:tc>
      </w:tr>
      <w:tr>
        <w:trPr>
          <w:trHeight w:val="615"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Medication-action-dose alpha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0.647</w:t>
            </w:r>
          </w:p>
        </w:tc>
      </w:tr>
    </w:tbl>
    <w:p>
      <w:pPr>
        <w:pStyle w:val="Normal"/>
      </w:pPr>
      <w:r>
        <w:t xml:space="preserve"/>
      </w:r>
    </w:p>
    <w:p>
      <w:pPr>
        <w:pStyle w:val="Titre2"/>
      </w:pPr>
      <w:r>
        <w:t xml:space="preserve">Top medication action-dose disagreement cases</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389"/>
        <w:gridCol w:w="1389"/>
        <w:gridCol w:w="3640"/>
        <w:gridCol w:w="2698"/>
        <w:gridCol w:w="3578"/>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case_id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n_repeats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n_unique_medication_signatures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modal_signature_count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medication_dose_variation_ratio</w:t>
            </w:r>
          </w:p>
        </w:tc>
      </w:tr>
      <w:tr>
        <w:trPr>
          <w:trHeight w:val="61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61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61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61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61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57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57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w:t>
            </w:r>
          </w:p>
        </w:tc>
      </w:tr>
      <w:tr>
        <w:trPr>
          <w:trHeight w:val="57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r>
      <w:tr>
        <w:trPr>
          <w:trHeight w:val="57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616"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r>
        <w:trPr>
          <w:trHeight w:val="577" w:hRule="auto"/>
        </w:trPr>
        body30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r>
    </w:tbl>
    <w:p>
      <w:pPr>
        <w:pStyle w:val="Normal"/>
      </w:pPr>
      <w:r>
        <w:t xml:space="preserve"/>
      </w:r>
    </w:p>
    <w:p>
      <w:pPr>
        <w:pStyle w:val="Titre2"/>
      </w:pPr>
      <w:r>
        <w:t xml:space="preserve">Medication-class agreement</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939"/>
        <w:gridCol w:w="2282"/>
        <w:gridCol w:w="3114"/>
        <w:gridCol w:w="2661"/>
        <w:gridCol w:w="3150"/>
        <w:gridCol w:w="2832"/>
        <w:gridCol w:w="2380"/>
        <w:gridCol w:w="2869"/>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drug_class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n_case_drug_pairs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mentioned_agreement_rate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active_agreement_rate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stop_avoid_agreement_rate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n_pairs_ever_mentioned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n_pairs_ever_active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n_pairs_ever_stop_avoid</w:t>
            </w:r>
          </w:p>
        </w:tc>
      </w:tr>
      <w:tr>
        <w:trPr>
          <w:trHeight w:val="61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dpp4i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61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w:t>
            </w:r>
          </w:p>
        </w:tc>
      </w:tr>
      <w:tr>
        <w:trPr>
          <w:trHeight w:val="61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24</w:t>
            </w:r>
          </w:p>
        </w:tc>
      </w:tr>
      <w:tr>
        <w:trPr>
          <w:trHeight w:val="61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prandial_insulin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r>
      <w:tr>
        <w:trPr>
          <w:trHeight w:val="61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sulfonylurea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tzd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59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61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dpp4i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18</w:t>
            </w:r>
          </w:p>
        </w:tc>
      </w:tr>
      <w:tr>
        <w:trPr>
          <w:trHeight w:val="57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w:t>
            </w:r>
          </w:p>
        </w:tc>
      </w:tr>
      <w:tr>
        <w:trPr>
          <w:trHeight w:val="61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prandial_insulin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33</w:t>
            </w:r>
          </w:p>
        </w:tc>
      </w:tr>
      <w:tr>
        <w:trPr>
          <w:trHeight w:val="618"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sulfonylurea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r>
      <w:tr>
        <w:trPr>
          <w:trHeight w:val="57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tzd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r>
      <w:tr>
        <w:trPr>
          <w:trHeight w:val="59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615"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dpp4i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r>
      <w:tr>
        <w:trPr>
          <w:trHeight w:val="61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r>
      <w:tr>
        <w:trPr>
          <w:trHeight w:val="617"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59</w:t>
            </w:r>
          </w:p>
        </w:tc>
      </w:tr>
      <w:tr>
        <w:trPr>
          <w:trHeight w:val="57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22</w:t>
            </w:r>
          </w:p>
        </w:tc>
      </w:tr>
      <w:tr>
        <w:trPr>
          <w:trHeight w:val="615"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prandial_insulin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r>
      <w:tr>
        <w:trPr>
          <w:trHeight w:val="61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17</w:t>
            </w:r>
          </w:p>
        </w:tc>
      </w:tr>
      <w:tr>
        <w:trPr>
          <w:trHeight w:val="618"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sulfonylurea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w:t>
            </w:r>
          </w:p>
        </w:tc>
      </w:tr>
      <w:tr>
        <w:trPr>
          <w:trHeight w:val="577" w:hRule="auto"/>
        </w:trPr>
        body30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tzd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r>
    </w:tbl>
    <w:p>
      <w:pPr>
        <w:pStyle w:val="Normal"/>
      </w:pPr>
      <w:r>
        <w:t xml:space="preserve"/>
      </w:r>
    </w:p>
    <w:p>
      <w:pPr>
        <w:pStyle w:val="Titre2"/>
      </w:pPr>
      <w:r>
        <w:t xml:space="preserve">Action-level agreement</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2746"/>
        <w:gridCol w:w="2991"/>
        <w:gridCol w:w="1964"/>
        <w:gridCol w:w="2539"/>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action_indicator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n_case_drug_action_pairs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agreement_rate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n_pairs_ever_present</w:t>
            </w:r>
          </w:p>
        </w:tc>
      </w:tr>
      <w:tr>
        <w:trPr>
          <w:trHeight w:val="61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active_recommendation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257</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conditional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40</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continue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29</w:t>
            </w:r>
          </w:p>
        </w:tc>
      </w:tr>
      <w:tr>
        <w:trPr>
          <w:trHeight w:val="61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increase_intensify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56</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manual_review_flag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57</w:t>
            </w:r>
          </w:p>
        </w:tc>
      </w:tr>
      <w:tr>
        <w:trPr>
          <w:trHeight w:val="61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mentioned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365</w:t>
            </w:r>
          </w:p>
        </w:tc>
      </w:tr>
      <w:tr>
        <w:trPr>
          <w:trHeight w:val="61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not_preferred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w:t>
            </w:r>
          </w:p>
        </w:tc>
      </w:tr>
      <w:tr>
        <w:trPr>
          <w:trHeight w:val="61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reduce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24</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start_add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251</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stop_or_avoid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58</w:t>
            </w:r>
          </w:p>
        </w:tc>
      </w:tr>
      <w:tr>
        <w:trPr>
          <w:trHeight w:val="59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active_recommendation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240</w:t>
            </w:r>
          </w:p>
        </w:tc>
      </w:tr>
      <w:tr>
        <w:trPr>
          <w:trHeight w:val="59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conditional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81</w:t>
            </w:r>
          </w:p>
        </w:tc>
      </w:tr>
      <w:tr>
        <w:trPr>
          <w:trHeight w:val="59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continue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w:t>
            </w:r>
          </w:p>
        </w:tc>
      </w:tr>
      <w:tr>
        <w:trPr>
          <w:trHeight w:val="61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increase_intensify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55</w:t>
            </w:r>
          </w:p>
        </w:tc>
      </w:tr>
      <w:tr>
        <w:trPr>
          <w:trHeight w:val="61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manual_review_flag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102</w:t>
            </w:r>
          </w:p>
        </w:tc>
      </w:tr>
      <w:tr>
        <w:trPr>
          <w:trHeight w:val="59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mentioned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451</w:t>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not_preferred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62</w:t>
            </w:r>
          </w:p>
        </w:tc>
      </w:tr>
      <w:tr>
        <w:trPr>
          <w:trHeight w:val="59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reduce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w:t>
            </w:r>
          </w:p>
        </w:tc>
      </w:tr>
      <w:tr>
        <w:trPr>
          <w:trHeight w:val="59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start_add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258</w:t>
            </w:r>
          </w:p>
        </w:tc>
      </w:tr>
      <w:tr>
        <w:trPr>
          <w:trHeight w:val="61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stop_or_avoid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121</w:t>
            </w:r>
          </w:p>
        </w:tc>
      </w:tr>
      <w:tr>
        <w:trPr>
          <w:trHeight w:val="59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active_recommendation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238</w:t>
            </w:r>
          </w:p>
        </w:tc>
      </w:tr>
      <w:tr>
        <w:trPr>
          <w:trHeight w:val="59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conditional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57</w:t>
            </w:r>
          </w:p>
        </w:tc>
      </w:tr>
      <w:tr>
        <w:trPr>
          <w:trHeight w:val="59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continue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40</w:t>
            </w:r>
          </w:p>
        </w:tc>
      </w:tr>
      <w:tr>
        <w:trPr>
          <w:trHeight w:val="618"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increase_intensify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89</w:t>
            </w:r>
          </w:p>
        </w:tc>
      </w:tr>
      <w:tr>
        <w:trPr>
          <w:trHeight w:val="619"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manual_review_flag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122</w:t>
            </w:r>
          </w:p>
        </w:tc>
      </w:tr>
      <w:tr>
        <w:trPr>
          <w:trHeight w:val="59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mentioned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418</w:t>
            </w:r>
          </w:p>
        </w:tc>
      </w:tr>
      <w:tr>
        <w:trPr>
          <w:trHeight w:val="617"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not_preferred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84</w:t>
            </w:r>
          </w:p>
        </w:tc>
      </w:tr>
      <w:tr>
        <w:trPr>
          <w:trHeight w:val="59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reduce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47</w:t>
            </w:r>
          </w:p>
        </w:tc>
      </w:tr>
      <w:tr>
        <w:trPr>
          <w:trHeight w:val="597"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start_add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298</w:t>
            </w:r>
          </w:p>
        </w:tc>
      </w:tr>
      <w:tr>
        <w:trPr>
          <w:trHeight w:val="615" w:hRule="auto"/>
        </w:trPr>
        body30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stop_or_avoid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132</w:t>
            </w:r>
          </w:p>
        </w:tc>
      </w:tr>
    </w:tbl>
    <w:p>
      <w:pPr>
        <w:pStyle w:val="Normal"/>
      </w:pPr>
      <w:r>
        <w:t xml:space="preserve"/>
      </w:r>
    </w:p>
    <w:p>
      <w:pPr>
        <w:pStyle w:val="Titre2"/>
      </w:pPr>
      <w:r>
        <w:t xml:space="preserve">Manual-review burden</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670"/>
        <w:gridCol w:w="3541"/>
        <w:gridCol w:w="3419"/>
        <w:gridCol w:w="3284"/>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n_responses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responses_with_manual_review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response_manual_review_rate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total_manual_review_classes</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199</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160</w:t>
            </w:r>
          </w:p>
        </w:tc>
      </w:tr>
      <w:tr>
        <w:trPr>
          <w:trHeight w:val="619"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142</w:t>
            </w:r>
          </w:p>
        </w:tc>
      </w:tr>
    </w:tbl>
    <w:p>
      <w:pPr>
        <w:pStyle w:val="Normal"/>
      </w:pPr>
      <w:r>
        <w:t xml:space="preserve"/>
      </w:r>
    </w:p>
    <w:p>
      <w:pPr>
        <w:pStyle w:val="Titre2"/>
      </w:pPr>
      <w:r>
        <w:t xml:space="preserve">Max-unstable case counts</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2722"/>
      </w:tblGrid>
      <w:tr>
        <w:trPr>
          <w:trHeight w:val="59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n_max_unstable_cases</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27</w:t>
            </w:r>
          </w:p>
        </w:tc>
      </w:tr>
      <w:tr>
        <w:trPr>
          <w:trHeight w:val="619"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r>
    </w:tbl>
    <w:p>
      <w:pPr>
        <w:pStyle w:val="Normal"/>
      </w:pPr>
      <w:r>
        <w:t xml:space="preserve"/>
      </w:r>
    </w:p>
    <w:p>
      <w:pPr>
        <w:pStyle w:val="Titre2"/>
      </w:pPr>
      <w:r>
        <w:t xml:space="preserve">Manual-review burden by instability status</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2649"/>
        <w:gridCol w:w="1670"/>
        <w:gridCol w:w="3541"/>
        <w:gridCol w:w="3419"/>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is_max_unstable_case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n_responses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responses_with_manual_review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manual_review_response_rate</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30.0%</w:t>
            </w:r>
          </w:p>
        </w:tc>
      </w:tr>
      <w:tr>
        <w:trPr>
          <w:trHeight w:val="61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22.4%</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30.4%</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23.6%</w:t>
            </w:r>
          </w:p>
        </w:tc>
      </w:tr>
      <w:tr>
        <w:trPr>
          <w:trHeight w:val="57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34.3%</w:t>
            </w:r>
          </w:p>
        </w:tc>
      </w:tr>
      <w:tr>
        <w:trPr>
          <w:trHeight w:val="577"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false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25.9%</w:t>
            </w:r>
          </w:p>
        </w:tc>
      </w:tr>
    </w:tbl>
    <w:p>
      <w:pPr>
        <w:pStyle w:val="Normal"/>
      </w:pPr>
      <w:r>
        <w:t xml:space="preserve"/>
      </w:r>
    </w:p>
    <w:p>
      <w:pPr>
        <w:pStyle w:val="Titre2"/>
      </w:pPr>
      <w:r>
        <w:t xml:space="preserve">Manual-review flags by model and drug class</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939"/>
        <w:gridCol w:w="2477"/>
      </w:tblGrid>
      <w:tr>
        <w:trPr>
          <w:trHeight w:val="619"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drug_class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manual_review_flags</w:t>
            </w:r>
          </w:p>
        </w:tc>
      </w:tr>
      <w:tr>
        <w:trPr>
          <w:trHeight w:val="61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48</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31</w:t>
            </w:r>
          </w:p>
        </w:tc>
      </w:tr>
      <w:tr>
        <w:trPr>
          <w:trHeight w:val="61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26</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sulfonylurea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58</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47</w:t>
            </w:r>
          </w:p>
        </w:tc>
      </w:tr>
      <w:tr>
        <w:trPr>
          <w:trHeight w:val="57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30</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15</w:t>
            </w:r>
          </w:p>
        </w:tc>
      </w:tr>
      <w:tr>
        <w:trPr>
          <w:trHeight w:val="61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dpp4i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w:t>
            </w:r>
          </w:p>
        </w:tc>
      </w:tr>
      <w:tr>
        <w:trPr>
          <w:trHeight w:val="57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tzd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r>
      <w:tr>
        <w:trPr>
          <w:trHeight w:val="59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r>
      <w:tr>
        <w:trPr>
          <w:trHeight w:val="61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102</w:t>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w:t>
            </w:r>
          </w:p>
        </w:tc>
      </w:tr>
      <w:tr>
        <w:trPr>
          <w:trHeight w:val="57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33</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w:t>
            </w:r>
          </w:p>
        </w:tc>
      </w:tr>
      <w:tr>
        <w:trPr>
          <w:trHeight w:val="61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sulfonylurea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w:t>
            </w:r>
          </w:p>
        </w:tc>
      </w:tr>
      <w:tr>
        <w:trPr>
          <w:trHeight w:val="61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prandial_insulin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r>
      <w:tr>
        <w:trPr>
          <w:trHeight w:val="577"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tzd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r>
    </w:tbl>
    <w:p>
      <w:pPr>
        <w:pStyle w:val="Normal"/>
      </w:pPr>
      <w:r>
        <w:t xml:space="preserve"/>
      </w:r>
    </w:p>
    <w:p>
      <w:pPr>
        <w:pStyle w:val="Titre2"/>
      </w:pPr>
      <w:r>
        <w:t xml:space="preserve">Manual-review flags by model and source</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2233"/>
        <w:gridCol w:w="2477"/>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source_used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manual_review_flags</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free_text_rationale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142</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free_text_rationale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160</w:t>
            </w:r>
          </w:p>
        </w:tc>
      </w:tr>
      <w:tr>
        <w:trPr>
          <w:trHeight w:val="59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free_text_rationale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199</w:t>
            </w:r>
          </w:p>
        </w:tc>
      </w:tr>
    </w:tbl>
    <w:p>
      <w:pPr>
        <w:pStyle w:val="Normal"/>
      </w:pPr>
      <w:r>
        <w:t xml:space="preserve"/>
      </w:r>
    </w:p>
    <w:p>
      <w:pPr>
        <w:pStyle w:val="Titre2"/>
      </w:pPr>
      <w:r>
        <w:t xml:space="preserve">Top unstable active-treatment combinations</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169"/>
        <w:gridCol w:w="1328"/>
        <w:gridCol w:w="1793"/>
        <w:gridCol w:w="2453"/>
        <w:gridCol w:w="4814"/>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case_id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repeat_id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variation_ratio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n_unique_signatures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active_drug_classes</w:t>
            </w:r>
          </w:p>
        </w:tc>
      </w:tr>
      <w:tr>
        <w:trPr>
          <w:trHeight w:val="61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 + tzd</w:t>
            </w:r>
          </w:p>
        </w:tc>
      </w:tr>
      <w:tr>
        <w:trPr>
          <w:trHeight w:val="61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 + tzd</w:t>
            </w:r>
          </w:p>
        </w:tc>
      </w:tr>
      <w:tr>
        <w:trPr>
          <w:trHeight w:val="61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 + tzd</w:t>
            </w:r>
          </w:p>
        </w:tc>
      </w:tr>
      <w:tr>
        <w:trPr>
          <w:trHeight w:val="61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 + tzd</w:t>
            </w:r>
          </w:p>
        </w:tc>
      </w:tr>
      <w:tr>
        <w:trPr>
          <w:trHeight w:val="61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 + tzd</w:t>
            </w:r>
          </w:p>
        </w:tc>
      </w:tr>
      <w:tr>
        <w:trPr>
          <w:trHeight w:val="61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 + metformin</w:t>
            </w:r>
          </w:p>
        </w:tc>
      </w:tr>
      <w:tr>
        <w:trPr>
          <w:trHeight w:val="61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 + metformin</w:t>
            </w:r>
          </w:p>
        </w:tc>
      </w:tr>
      <w:tr>
        <w:trPr>
          <w:trHeight w:val="61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 + metformin</w:t>
            </w:r>
          </w:p>
        </w:tc>
      </w:tr>
      <w:tr>
        <w:trPr>
          <w:trHeight w:val="619"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 + metformin</w:t>
            </w:r>
          </w:p>
        </w:tc>
      </w:tr>
      <w:tr>
        <w:trPr>
          <w:trHeight w:val="619"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gip_glp1 + metformin</w:t>
            </w:r>
          </w:p>
        </w:tc>
      </w:tr>
      <w:tr>
        <w:trPr>
          <w:trHeight w:val="619"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sglt2i</w:t>
            </w:r>
          </w:p>
        </w:tc>
      </w:tr>
      <w:tr>
        <w:trPr>
          <w:trHeight w:val="619"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sglt2i</w:t>
            </w:r>
          </w:p>
        </w:tc>
      </w:tr>
      <w:tr>
        <w:trPr>
          <w:trHeight w:val="619"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sglt2i</w:t>
            </w:r>
          </w:p>
        </w:tc>
      </w:tr>
      <w:tr>
        <w:trPr>
          <w:trHeight w:val="619"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sglt2i</w:t>
            </w:r>
          </w:p>
        </w:tc>
      </w:tr>
      <w:tr>
        <w:trPr>
          <w:trHeight w:val="619"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sglt2i</w:t>
            </w:r>
          </w:p>
        </w:tc>
      </w:tr>
      <w:tr>
        <w:trPr>
          <w:trHeight w:val="619"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dpp4i + insulin_any</w:t>
            </w:r>
          </w:p>
        </w:tc>
      </w:tr>
      <w:tr>
        <w:trPr>
          <w:trHeight w:val="619"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glp1 + insulin_any</w:t>
            </w:r>
          </w:p>
        </w:tc>
      </w:tr>
      <w:tr>
        <w:trPr>
          <w:trHeight w:val="619"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dpp4i + insulin_any</w:t>
            </w:r>
          </w:p>
        </w:tc>
      </w:tr>
      <w:tr>
        <w:trPr>
          <w:trHeight w:val="619"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dpp4i + insulin_any</w:t>
            </w:r>
          </w:p>
        </w:tc>
      </w:tr>
      <w:tr>
        <w:trPr>
          <w:trHeight w:val="619"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glp1 + insulin_any</w:t>
            </w:r>
          </w:p>
        </w:tc>
      </w:tr>
      <w:tr>
        <w:trPr>
          <w:trHeight w:val="619"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insulin_any + prandial_insulin</w:t>
            </w:r>
          </w:p>
        </w:tc>
      </w:tr>
      <w:tr>
        <w:trPr>
          <w:trHeight w:val="619"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insulin_any + prandial_insulin</w:t>
            </w:r>
          </w:p>
        </w:tc>
      </w:tr>
      <w:tr>
        <w:trPr>
          <w:trHeight w:val="619"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insulin_any + prandial_insulin</w:t>
            </w:r>
          </w:p>
        </w:tc>
      </w:tr>
      <w:tr>
        <w:trPr>
          <w:trHeight w:val="619"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insulin_any + prandial_insulin</w:t>
            </w:r>
          </w:p>
        </w:tc>
      </w:tr>
      <w:tr>
        <w:trPr>
          <w:trHeight w:val="619"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insulin_any + prandial_insulin</w:t>
            </w:r>
          </w:p>
        </w:tc>
      </w:tr>
      <w:tr>
        <w:trPr>
          <w:trHeight w:val="619"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glp1 + insulin_any</w:t>
            </w:r>
          </w:p>
        </w:tc>
      </w:tr>
      <w:tr>
        <w:trPr>
          <w:trHeight w:val="619"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glp1 + insulin_any</w:t>
            </w:r>
          </w:p>
        </w:tc>
      </w:tr>
      <w:tr>
        <w:trPr>
          <w:trHeight w:val="619"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glp1 + insulin_any</w:t>
            </w:r>
          </w:p>
        </w:tc>
      </w:tr>
      <w:tr>
        <w:trPr>
          <w:trHeight w:val="619"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glp1 + insulin_any</w:t>
            </w:r>
          </w:p>
        </w:tc>
      </w:tr>
      <w:tr>
        <w:trPr>
          <w:trHeight w:val="619"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basal_insulin + glp1 + insulin_any</w:t>
            </w:r>
          </w:p>
        </w:tc>
      </w:tr>
      <w:tr>
        <w:trPr>
          <w:trHeight w:val="619"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tzd</w:t>
            </w:r>
          </w:p>
        </w:tc>
      </w:tr>
      <w:tr>
        <w:trPr>
          <w:trHeight w:val="619"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w:t>
            </w:r>
          </w:p>
        </w:tc>
      </w:tr>
      <w:tr>
        <w:trPr>
          <w:trHeight w:val="619"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w:t>
            </w:r>
          </w:p>
        </w:tc>
      </w:tr>
      <w:tr>
        <w:trPr>
          <w:trHeight w:val="619"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w:t>
            </w:r>
          </w:p>
        </w:tc>
      </w:tr>
      <w:tr>
        <w:trPr>
          <w:trHeight w:val="619"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w:t>
            </w:r>
          </w:p>
        </w:tc>
      </w:tr>
      <w:tr>
        <w:trPr>
          <w:trHeight w:val="619"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 sglt2i</w:t>
            </w:r>
          </w:p>
        </w:tc>
      </w:tr>
      <w:tr>
        <w:trPr>
          <w:trHeight w:val="619"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r>
        <w:trPr>
          <w:trHeight w:val="619" w:hRule="auto"/>
        </w:trPr>
        body60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 + metformin</w:t>
            </w:r>
          </w:p>
        </w:tc>
      </w:tr>
    </w:tbl>
    <w:p>
      <w:pPr>
        <w:pStyle w:val="Normal"/>
      </w:pPr>
      <w:r>
        <w:t xml:space="preserve"/>
      </w:r>
    </w:p>
    <w:p>
      <w:pPr>
        <w:pStyle w:val="Titre2"/>
      </w:pPr>
      <w:r>
        <w:t xml:space="preserve">Representative parser-flagged rationale examples</w:t>
      </w:r>
    </w:p>
    <w:tbl xmlns:a="http://schemas.openxmlformats.org/drawingml/2006/main" xmlns:pic="http://schemas.openxmlformats.org/drawingml/2006/picture">
      <w:tblPr>
        <w:tblLayout w:type="fixed"/>
        <w:jc w:val="center"/>
        <w:tblLook w:firstRow="1" w:lastRow="0" w:firstColumn="0" w:lastColumn="0" w:noHBand="0" w:noVBand="1"/>
      </w:tblPr>
      <w:tblGrid>
        <w:gridCol w:w="2233"/>
        <w:gridCol w:w="1389"/>
        <w:gridCol w:w="1328"/>
        <w:gridCol w:w="1511"/>
        <w:gridCol w:w="1793"/>
        <w:gridCol w:w="1463"/>
        <w:gridCol w:w="1732"/>
        <w:gridCol w:w="1132"/>
        <w:gridCol w:w="24086"/>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model_clean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case_id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repeat_id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drug_class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stop_or_avoid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conditional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not_preferred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unclear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example_text_short</w:t>
            </w:r>
          </w:p>
        </w:tc>
      </w:tr>
      <w:tr>
        <w:trPr>
          <w:trHeight w:val="62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While a GLP-1 receptor agonist would be ideal for weight loss and cardiometabolic benefit, her strong aversion to injectable therapies and concern about medication cost make pioglitazone a more practical choice at this time. || The plan ...</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Although the patient expressed reluctance toward injections, semaglutide requires only a once-weekly subcutaneous injection with a small needle, which is generally well-tolerated and can be discussed with the patient as distinct from dai...</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pioglitazone is included as a third agent to provide additional durable glycemic control, as the degree of hyperglycemia likely requires triple therapy to approach goal without insulin. || The plan is to reassess HbA1c in 3 months and, i...</w:t>
            </w:r>
          </w:p>
        </w:tc>
      </w:tr>
      <w:tr>
        <w:trPr>
          <w:trHeight w:val="62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it works through insulin sensitization and offers durable glucose control. || This triple oral regimen should be reassessed in 3 months, and if HbA1c remains significantly above goal, the discussion regarding injectable therapy (such as ...</w:t>
            </w:r>
          </w:p>
        </w:tc>
      </w:tr>
      <w:tr>
        <w:trPr>
          <w:trHeight w:val="62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While an HbA1c this high often warrants insulin initiation, her clear preference against injections and absence of catabolic features (such as ketonuria or significant weight loss) support an aggressive oral regimen as an initial trial. ...</w:t>
            </w:r>
          </w:p>
        </w:tc>
      </w:tr>
      <w:tr>
        <w:trPr>
          <w:trHeight w:val="62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This three-drug oral regimen is expected to lower HbA1c by approximately 3-4%, and the patient should be reassessed in 3 months with the understanding that if glycemic targets are not met, injectable therapy such as a GLP-1 receptor agon...</w:t>
            </w:r>
          </w:p>
        </w:tc>
      </w:tr>
      <w:tr>
        <w:trPr>
          <w:trHeight w:val="61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While an HbA1c this high often warrants insulin initiation, her clear preference against injections and the absence of ketosis or catabolic features support an aggressive oral combination approach with close follow-up. || pioglitazone pr...</w:t>
            </w:r>
          </w:p>
        </w:tc>
      </w:tr>
      <w:tr>
        <w:trPr>
          <w:trHeight w:val="62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Starting metformin at 500 mg twice daily with gradual titration will help minimize gastrointestinal side effects, particularly since she is already on a GIP/GLP-1 receptor agonist that can cause nausea.</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Her eGFR of 72 mL/min/1.73m2 safely permits metformin use, and starting at a lower dose with gradual titration will minimize gastrointestinal side effects, which is particularly relevant since she is already on a GIP/GLP-1 receptor agoni...</w:t>
            </w:r>
          </w:p>
        </w:tc>
      </w:tr>
      <w:tr>
        <w:trPr>
          <w:trHeight w:val="62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was not added because his eGFR of 38 is at the threshold where initiation is generally not recommended and the risk-benefit ratio is less favorable in an elderly patient with CKD stage 3b.</w:t>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is contraindicated at this level of kidney function, and SGLT2 inhibitors are generally not initiated for glycemic benefit at an eGFR below 20-25 mL/min/1.73m2 and carry risk in a patient already on furosemide with anemia and b...</w:t>
            </w:r>
          </w:p>
        </w:tc>
      </w:tr>
      <w:tr>
        <w:trPr>
          <w:trHeight w:val="621"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Opus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is contraindicated at this level of kidney function, and SGLT2 inhibitors are generally not initiated for glycemic benefit at an eGFR below 20-25 mL/min/1.73m2 and carry risk in a patient already on furosemide with anemia and b...</w:t>
            </w:r>
          </w:p>
        </w:tc>
      </w:tr>
      <w:tr>
        <w:trPr>
          <w:trHeight w:val="621"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 GLP-1 receptor agonist was not selected given the patient's preference for oral-only therapy and the fact that the oral formulation requires specific administration conditions that reduce convenience, while the injectable formulations ...</w:t>
            </w:r>
          </w:p>
        </w:tc>
      </w:tr>
      <w:tr>
        <w:trPr>
          <w:trHeight w:val="621"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 GLP-1 receptor agonist was not selected because the patient expressed a preference for oral therapy and his HbA1c is modestly elevated, making the combination of empagliflozin and metformin a sufficient and well-tolerated starting regimen</w:t>
            </w:r>
          </w:p>
        </w:tc>
      </w:tr>
      <w:tr>
        <w:trPr>
          <w:trHeight w:val="621"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 GLP-1 receptor agonist was not selected given his preference for oral therapy and the adequacy of the two-drug oral regimen for his current HbA1c.</w:t>
            </w:r>
          </w:p>
        </w:tc>
      </w:tr>
      <w:tr>
        <w:trPr>
          <w:trHeight w:val="61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dpp4i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While cost is a concern, patient assistance programs and manufacturer savings cards for semaglutide should be explored, and the cardiorenal benefits justify its use over less protective alternatives such as a DPP-4 inhibitor.</w:t>
            </w:r>
          </w:p>
        </w:tc>
      </w:tr>
      <w:tr>
        <w:trPr>
          <w:trHeight w:val="621"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There is no compelling indication at this time for a GLP-1 receptor agonist or SGLT-2 inhibitor as first-line therapy, since those agents are preferentially added when there is established atherosclerotic cardiovascular disease, heart fa...</w:t>
            </w:r>
          </w:p>
        </w:tc>
      </w:tr>
      <w:tr>
        <w:trPr>
          <w:trHeight w:val="61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 is not warranted given the modest HbA1c elevation and absence of symptoms of severe hyperglycemia.</w:t>
            </w:r>
          </w:p>
        </w:tc>
      </w:tr>
      <w:tr>
        <w:trPr>
          <w:trHeight w:val="621"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There is no compelling indication at this time for a GLP-1 receptor agonist or SGLT-2 inhibitor as first-line therapy, since those agents are preferentially added when there is established atherosclerotic cardiovascular disease, heart fa...</w:t>
            </w:r>
          </w:p>
        </w:tc>
      </w:tr>
      <w:tr>
        <w:trPr>
          <w:trHeight w:val="621"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The absence of compelling indications for a GLP-1 receptor agonist or SGLT-2 inhibitor (such as established atherosclerotic cardiovascular disease, heart failure, or albuminuria above 30 mg/g) means those agents are not required at this ...</w:t>
            </w:r>
          </w:p>
        </w:tc>
      </w:tr>
      <w:tr>
        <w:trPr>
          <w:trHeight w:val="621"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The absence of compelling indications for a GLP-1 receptor agonist or SGLT-2 inhibitor (such as established atherosclerotic cardiovascular disease, heart failure, or albuminuria above 30 mg/g) means those agents are not required at this ...</w:t>
            </w:r>
          </w:p>
        </w:tc>
      </w:tr>
      <w:tr>
        <w:trPr>
          <w:trHeight w:val="621"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There is no compelling indication at this time for a GLP-1 receptor agonist or SGLT-2 inhibitor as first-line therapy, as those agents are preferentially added when there is established atherosclerotic cardiovascular disease, heart failu...</w:t>
            </w:r>
          </w:p>
        </w:tc>
      </w:tr>
      <w:tr>
        <w:trPr>
          <w:trHeight w:val="621"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There is no compelling indication at this time for a GLP-1 receptor agonist or SGLT-2 inhibitor as first-line therapy, as those agents are preferentially added when there is established atherosclerotic cardiovascular disease, heart failu...</w:t>
            </w:r>
          </w:p>
        </w:tc>
      </w:tr>
      <w:tr>
        <w:trPr>
          <w:trHeight w:val="621"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Claude Sonnet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An SGLT2 inhibitor would also carry renal and cardiovascular benefits in this setting, but given her eGFR of 58 and the need to confirm stability of renal function before initiating, and to avoid polypharmacy complexity at treatment init...</w:t>
            </w:r>
          </w:p>
        </w:tc>
      </w:tr>
      <w:tr>
        <w:trPr>
          <w:trHeight w:val="621"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metformin should remain off because of his eGFR of 24, and adding other antihyperglycemic agents is not ideal here because advanced chronic kidney disease limits options and several alternatives would not simplify treatment as effectivel...</w:t>
            </w:r>
          </w:p>
        </w:tc>
      </w:tr>
      <w:tr>
        <w:trPr>
          <w:trHeight w:val="621"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 would avoid starting an injectable medication now given her reluctance, and although a GLP-1 receptor agonist could help with weight loss and glycemic control, cost and route make it less suitable at this visit.</w:t>
            </w:r>
          </w:p>
        </w:tc>
      </w:tr>
      <w:tr>
        <w:trPr>
          <w:trHeight w:val="619"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Lifestyle changes should continue alongside metformin, and there is no current need for insulin or additional agents given his mild hyperglycemia and stable presentation.</w:t>
            </w:r>
          </w:p>
        </w:tc>
      </w:tr>
      <w:tr>
        <w:trPr>
          <w:trHeight w:val="621"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Given his current A1c of 7.4%, lack of symptomatic hyperglycemia, and absence of established chronic kidney disease or albuminuria, there is no need to start insulin or combination antihyperglycemic therapy at this time.</w:t>
            </w:r>
          </w:p>
        </w:tc>
      </w:tr>
      <w:tr>
        <w:trPr>
          <w:trHeight w:val="621"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Since his hyperglycemia is modest and he has no catabolic symptoms or severe elevation that would require insulin, a single oral agent is appropriate at this time.</w:t>
            </w:r>
          </w:p>
        </w:tc>
      </w:tr>
      <w:tr>
        <w:trPr>
          <w:trHeight w:val="619"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 is not required right now because she is clinically stable, not catabolic, and her glucose level does not suggest an immediate need for injectable therapy.</w:t>
            </w:r>
          </w:p>
        </w:tc>
      </w:tr>
      <w:tr>
        <w:trPr>
          <w:trHeight w:val="621"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Because she prefers to avoid injections, starting with these two oral agents is reasonable rather than insulin or a GLP-1 receptor agonist.</w:t>
            </w:r>
          </w:p>
        </w:tc>
      </w:tr>
      <w:tr>
        <w:trPr>
          <w:trHeight w:val="621"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insulin_any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Because she prefers to avoid injections, starting with these two oral agents is reasonable rather than insulin or a GLP-1 receptor agonist.</w:t>
            </w:r>
          </w:p>
        </w:tc>
      </w:tr>
      <w:tr>
        <w:trPr>
          <w:trHeight w:val="621"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 would avoid adding other antihyperglycemic medications now because monotherapy is reasonable at this A1c level, and agents such as SGLT2 inhibitors could worsen urinary frequency, which is already bothersome.</w:t>
            </w:r>
          </w:p>
        </w:tc>
      </w:tr>
      <w:tr>
        <w:trPr>
          <w:trHeight w:val="621"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Since he has no established ASCVD, heart failure, or CKD with albuminuria, there is not a strong indication to begin a GLP-1 receptor agonist or SGLT2 inhibitor first line at this visit.</w:t>
            </w:r>
          </w:p>
        </w:tc>
      </w:tr>
      <w:tr>
        <w:trPr>
          <w:trHeight w:val="621"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sglt2i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Since he has no established ASCVD, heart failure, or CKD with albuminuria, there is not a strong indication to begin a GLP-1 receptor agonist or SGLT2 inhibitor first line at this visit.</w:t>
            </w:r>
          </w:p>
        </w:tc>
      </w:tr>
      <w:tr>
        <w:trPr>
          <w:trHeight w:val="619" w:hRule="auto"/>
        </w:trPr>
        body36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GPT-5.4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DM030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glp1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 would avoid starting an sglt2 inhibitor right now because his urinary frequency and nocturia could worsen, and a glp-1 receptor agonist would not fit his preference for once-daily oral therapy.</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jiayiwei</cp:lastModifiedBy>
  <cp:revision>9</cp:revision>
  <dcterms:created xsi:type="dcterms:W3CDTF">2017-02-28T11:18:00Z</dcterms:created>
  <dcterms:modified xsi:type="dcterms:W3CDTF">2026-06-20T22:22:47Z</dcterms:modified>
  <cp:category/>
</cp:coreProperties>
</file>