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ClimateTales Rwanda and NDIM Engine</w:t>
      </w:r>
    </w:p>
    <w:p>
      <w:pPr>
        <w:jc w:val="center"/>
      </w:pPr>
      <w:r>
        <w:rPr>
          <w:b/>
        </w:rPr>
        <w:t>Synthetic Narrative Corpus and Desk Review</w:t>
      </w:r>
    </w:p>
    <w:p>
      <w:pPr>
        <w:jc w:val="center"/>
      </w:pPr>
      <w:r>
        <w:t>Generated 2026-05-20 | Synthetic data for NDIM stress testing | Not field evidence</w:t>
      </w:r>
    </w:p>
    <w:tbl>
      <w:tblPr>
        <w:tblW w:type="auto" w:w="0"/>
        <w:jc w:val="center"/>
        <w:tblLook w:firstColumn="1" w:firstRow="1" w:lastColumn="0" w:lastRow="0" w:noHBand="0" w:noVBand="1" w:val="04A0"/>
      </w:tblPr>
      <w:tblGrid>
        <w:gridCol w:w="9972"/>
      </w:tblGrid>
      <w:tr>
        <w:tc>
          <w:tcPr>
            <w:tcW w:type="dxa" w:w="9972"/>
            <w:shd w:fill="F4F8F1"/>
            <w:tcMar>
              <w:top w:w="180" w:type="dxa"/>
              <w:start w:w="180" w:type="dxa"/>
              <w:bottom w:w="180" w:type="dxa"/>
              <w:end w:w="180" w:type="dxa"/>
            </w:tcMar>
          </w:tcPr>
          <w:p>
            <w:r>
              <w:rPr>
                <w:b/>
                <w:color w:val="415C3A"/>
              </w:rPr>
              <w:t>Purpose</w:t>
            </w:r>
            <w:r>
              <w:br/>
              <w:t>This report documents the scientific rationale, design logic, and source grounding for a synthetic Rwanda clean-cooking narrative corpus built to test the NDIM Engine from narrative ingestion through policy output.</w:t>
            </w:r>
          </w:p>
        </w:tc>
      </w:tr>
    </w:tbl>
    <w:p/>
    <w:p>
      <w:pPr>
        <w:pStyle w:val="Heading1"/>
      </w:pPr>
      <w:r>
        <w:t>Executive summary</w:t>
      </w:r>
    </w:p>
    <w:p>
      <w:r>
        <w:t>The #ClimateTales project asks whether culturally grounded narratives can improve clean climate technology adoption in Rwanda by linking social insight mining, behavioural design labs, a gamified influence simulator, and story activation pilots (AIMS-Imperial, 2025). The synthetic corpus created here translates that project logic into importable NDIM test data. It contains structured interviews, open stories, indigenous knowledge, citizen science reports, crowdsourced batches, and social media feed extracts.</w:t>
      </w:r>
    </w:p>
    <w:p>
      <w:r>
        <w:t>The corpus is designed to stress-test both the tool and the scientific workflow: SDMX-style coherence, consent and visibility metadata, approval governance, encoding variation, misinformation and inoculation opportunities, model feedback, and policy-facing interpretation. It is intentionally diverse across administrative locations, respondent roles, technology options, adoption stance, tone, trust, and barriers.</w:t>
      </w:r>
    </w:p>
    <w:p>
      <w:pPr>
        <w:pStyle w:val="Heading1"/>
      </w:pPr>
      <w:r>
        <w:t>Thesis: narrative evidence is necessary for climate-technology adoption</w:t>
      </w:r>
    </w:p>
    <w:p>
      <w:r>
        <w:t>The proposal's core thesis is that clean-technology adoption is not only a technical or economic problem; it is also a narrative problem. Household cooking choices are embedded in routine, status, gendered labour, food texture, trust in messengers, perceived risk, and community proof. Rwanda clean-cooking literature supports this premise: studies of improved cookstoves and fuel pellets show that adoption depends on affordability, fuel supply, product confidence, after-sales support, and social learning, not only awareness (Seguin et al., 2018).</w:t>
      </w:r>
    </w:p>
    <w:p>
      <w:r>
        <w:t>Clean cooking projects in Rwanda also operate through institutions and trust networks. ReCIC targets production, marketing, and use of improved cooking energy systems (SNV, 2024), while Tubeho Neza and related carbon-finance programmes connect cookstove distribution, maintenance, awareness, and emissions reductions (DelAgua, 2026; Ci-Dev, 2024). The NDIM workflow therefore needs narratives that reveal why a household accepts, delays, adapts, or refuses a clean-cooking intervention.</w:t>
      </w:r>
    </w:p>
    <w:p>
      <w:pPr>
        <w:pStyle w:val="Heading1"/>
      </w:pPr>
      <w:r>
        <w:t>Antithesis: narrative data can mislead if it is not governed</w:t>
      </w:r>
    </w:p>
    <w:p>
      <w:r>
        <w:t>The counter-argument is equally important: stories are powerful but can be noisy, duplicated, biased, sensitive, or strategically manipulated. Social media feeds may amplify rumours faster than correction. Indigenous knowledge can be extracted without proper community validation. Crowdsourced evidence can include false narratives or low-quality submissions. For this reason, the corpus includes consent tiers, visibility, review status, source actor, trusted messenger, validation status, and tamper-evident workflow fields.</w:t>
      </w:r>
    </w:p>
    <w:p>
      <w:r>
        <w:t>The tool should not treat a narrative as policy evidence merely because it is vivid. It should ask: who said it, where, under what consent, whether it is locally grounded, how it was reviewed, whether it contains misinformation, and whether it should influence a model. This is why the synthetic dataset includes both adoption-positive and adoption-resistant stories.</w:t>
      </w:r>
    </w:p>
    <w:p>
      <w:pPr>
        <w:pStyle w:val="Heading1"/>
      </w:pPr>
      <w:r>
        <w:t>Synthesis: governed narrative intelligence for decision support</w:t>
      </w:r>
    </w:p>
    <w:p>
      <w:r>
        <w:t>The synthesis is a governed narrative intelligence pipeline. Field and digital stories are first made coherent through a shared observation table. They then pass through SDMX-style metadata, approval, encoding, model simulation, inoculation testing, regional interpretation, and policy export. This turns narrative evidence into decision support without pretending that stories are the same as measured engineering data.</w:t>
      </w:r>
    </w:p>
    <w:p>
      <w:r>
        <w:t>The corpus was therefore created to test the whole chain: it includes clean-cooking technologies such as electric pressure cookers, improved biomass stoves, pellet stoves, LPG, briquettes, biogas, and repair-support interventions. It also includes communication channels such as savings groups, community health workers, school kitchens, radio drama, WhatsApp summaries, and youth climate catalysts.</w:t>
      </w:r>
    </w:p>
    <w:p>
      <w:pPr>
        <w:pStyle w:val="Heading1"/>
      </w:pPr>
      <w:r>
        <w:t>Desk-review grounding</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EAF0F8"/>
            <w:tcMar>
              <w:top w:w="120" w:type="dxa"/>
              <w:start w:w="120" w:type="dxa"/>
              <w:bottom w:w="120" w:type="dxa"/>
              <w:end w:w="120" w:type="dxa"/>
            </w:tcMar>
          </w:tcPr>
          <w:p>
            <w:r>
              <w:rPr>
                <w:b/>
                <w:sz w:val="19"/>
              </w:rPr>
              <w:t>Source</w:t>
            </w:r>
          </w:p>
        </w:tc>
        <w:tc>
          <w:tcPr>
            <w:tcW w:type="dxa" w:w="3312"/>
            <w:shd w:fill="EAF0F8"/>
            <w:tcMar>
              <w:top w:w="120" w:type="dxa"/>
              <w:start w:w="120" w:type="dxa"/>
              <w:bottom w:w="120" w:type="dxa"/>
              <w:end w:w="120" w:type="dxa"/>
            </w:tcMar>
          </w:tcPr>
          <w:p>
            <w:r>
              <w:rPr>
                <w:b/>
                <w:sz w:val="19"/>
              </w:rPr>
              <w:t>What it contributes</w:t>
            </w:r>
          </w:p>
        </w:tc>
        <w:tc>
          <w:tcPr>
            <w:tcW w:type="dxa" w:w="3888"/>
            <w:shd w:fill="EAF0F8"/>
            <w:tcMar>
              <w:top w:w="120" w:type="dxa"/>
              <w:start w:w="120" w:type="dxa"/>
              <w:bottom w:w="120" w:type="dxa"/>
              <w:end w:w="120" w:type="dxa"/>
            </w:tcMar>
          </w:tcPr>
          <w:p>
            <w:r>
              <w:rPr>
                <w:b/>
                <w:sz w:val="19"/>
              </w:rPr>
              <w:t>How it shaped the corpus</w:t>
            </w:r>
          </w:p>
        </w:tc>
      </w:tr>
      <w:tr>
        <w:tc>
          <w:tcPr>
            <w:tcW w:type="dxa" w:w="2592"/>
            <w:vAlign w:val="center"/>
            <w:tcMar>
              <w:top w:w="120" w:type="dxa"/>
              <w:start w:w="120" w:type="dxa"/>
              <w:bottom w:w="120" w:type="dxa"/>
              <w:end w:w="120" w:type="dxa"/>
            </w:tcMar>
          </w:tcPr>
          <w:p>
            <w:pPr>
              <w:spacing w:after="40"/>
            </w:pPr>
            <w:r>
              <w:rPr>
                <w:sz w:val="18"/>
              </w:rPr>
              <w:t>AIMS-Imperial proposal (2025)</w:t>
            </w:r>
          </w:p>
        </w:tc>
        <w:tc>
          <w:tcPr>
            <w:tcW w:type="dxa" w:w="3312"/>
            <w:vAlign w:val="center"/>
            <w:tcMar>
              <w:top w:w="120" w:type="dxa"/>
              <w:start w:w="120" w:type="dxa"/>
              <w:bottom w:w="120" w:type="dxa"/>
              <w:end w:w="120" w:type="dxa"/>
            </w:tcMar>
          </w:tcPr>
          <w:p>
            <w:pPr>
              <w:spacing w:after="40"/>
            </w:pPr>
            <w:r>
              <w:rPr>
                <w:sz w:val="18"/>
              </w:rPr>
              <w:t>ClimateTales vision: social insight mining, behavioural labs, digital twin simulator, story activation pilots.</w:t>
            </w:r>
          </w:p>
        </w:tc>
        <w:tc>
          <w:tcPr>
            <w:tcW w:type="dxa" w:w="3888"/>
            <w:vAlign w:val="center"/>
            <w:tcMar>
              <w:top w:w="120" w:type="dxa"/>
              <w:start w:w="120" w:type="dxa"/>
              <w:bottom w:w="120" w:type="dxa"/>
              <w:end w:w="120" w:type="dxa"/>
            </w:tcMar>
          </w:tcPr>
          <w:p>
            <w:pPr>
              <w:spacing w:after="40"/>
            </w:pPr>
            <w:r>
              <w:rPr>
                <w:sz w:val="18"/>
              </w:rPr>
              <w:t>Data fields include source route, messenger, narrative body, intervention channel, and policy relevance.</w:t>
            </w:r>
          </w:p>
        </w:tc>
      </w:tr>
      <w:tr>
        <w:tc>
          <w:tcPr>
            <w:tcW w:type="dxa" w:w="2592"/>
            <w:vAlign w:val="center"/>
            <w:tcMar>
              <w:top w:w="120" w:type="dxa"/>
              <w:start w:w="120" w:type="dxa"/>
              <w:bottom w:w="120" w:type="dxa"/>
              <w:end w:w="120" w:type="dxa"/>
            </w:tcMar>
          </w:tcPr>
          <w:p>
            <w:pPr>
              <w:spacing w:after="40"/>
            </w:pPr>
            <w:r>
              <w:rPr>
                <w:sz w:val="18"/>
              </w:rPr>
              <w:t>Seguin et al. / RTI-PLOS One (2018)</w:t>
            </w:r>
          </w:p>
        </w:tc>
        <w:tc>
          <w:tcPr>
            <w:tcW w:type="dxa" w:w="3312"/>
            <w:vAlign w:val="center"/>
            <w:tcMar>
              <w:top w:w="120" w:type="dxa"/>
              <w:start w:w="120" w:type="dxa"/>
              <w:bottom w:w="120" w:type="dxa"/>
              <w:end w:w="120" w:type="dxa"/>
            </w:tcMar>
          </w:tcPr>
          <w:p>
            <w:pPr>
              <w:spacing w:after="40"/>
            </w:pPr>
            <w:r>
              <w:rPr>
                <w:sz w:val="18"/>
              </w:rPr>
              <w:t>Qualitative evidence on barriers and facilitators for fuel pellets and improved cookstoves in Gisenyi.</w:t>
            </w:r>
          </w:p>
        </w:tc>
        <w:tc>
          <w:tcPr>
            <w:tcW w:type="dxa" w:w="3888"/>
            <w:vAlign w:val="center"/>
            <w:tcMar>
              <w:top w:w="120" w:type="dxa"/>
              <w:start w:w="120" w:type="dxa"/>
              <w:bottom w:w="120" w:type="dxa"/>
              <w:end w:w="120" w:type="dxa"/>
            </w:tcMar>
          </w:tcPr>
          <w:p>
            <w:pPr>
              <w:spacing w:after="40"/>
            </w:pPr>
            <w:r>
              <w:rPr>
                <w:sz w:val="18"/>
              </w:rPr>
              <w:t>Narratives vary trust, payment, repair, contract confusion, taste, and fuel supply.</w:t>
            </w:r>
          </w:p>
        </w:tc>
      </w:tr>
      <w:tr>
        <w:tc>
          <w:tcPr>
            <w:tcW w:type="dxa" w:w="2592"/>
            <w:vAlign w:val="center"/>
            <w:tcMar>
              <w:top w:w="120" w:type="dxa"/>
              <w:start w:w="120" w:type="dxa"/>
              <w:bottom w:w="120" w:type="dxa"/>
              <w:end w:w="120" w:type="dxa"/>
            </w:tcMar>
          </w:tcPr>
          <w:p>
            <w:pPr>
              <w:spacing w:after="40"/>
            </w:pPr>
            <w:r>
              <w:rPr>
                <w:sz w:val="18"/>
              </w:rPr>
              <w:t>SNV ReCIC Rwanda</w:t>
            </w:r>
          </w:p>
        </w:tc>
        <w:tc>
          <w:tcPr>
            <w:tcW w:type="dxa" w:w="3312"/>
            <w:vAlign w:val="center"/>
            <w:tcMar>
              <w:top w:w="120" w:type="dxa"/>
              <w:start w:w="120" w:type="dxa"/>
              <w:bottom w:w="120" w:type="dxa"/>
              <w:end w:w="120" w:type="dxa"/>
            </w:tcMar>
          </w:tcPr>
          <w:p>
            <w:pPr>
              <w:spacing w:after="40"/>
            </w:pPr>
            <w:r>
              <w:rPr>
                <w:sz w:val="18"/>
              </w:rPr>
              <w:t>Market and use challenges for improved cooking energy systems.</w:t>
            </w:r>
          </w:p>
        </w:tc>
        <w:tc>
          <w:tcPr>
            <w:tcW w:type="dxa" w:w="3888"/>
            <w:vAlign w:val="center"/>
            <w:tcMar>
              <w:top w:w="120" w:type="dxa"/>
              <w:start w:w="120" w:type="dxa"/>
              <w:bottom w:w="120" w:type="dxa"/>
              <w:end w:w="120" w:type="dxa"/>
            </w:tcMar>
          </w:tcPr>
          <w:p>
            <w:pPr>
              <w:spacing w:after="40"/>
            </w:pPr>
            <w:r>
              <w:rPr>
                <w:sz w:val="18"/>
              </w:rPr>
              <w:t>Routes include market, supply-chain, and behaviour-change narratives.</w:t>
            </w:r>
          </w:p>
        </w:tc>
      </w:tr>
      <w:tr>
        <w:tc>
          <w:tcPr>
            <w:tcW w:type="dxa" w:w="2592"/>
            <w:vAlign w:val="center"/>
            <w:tcMar>
              <w:top w:w="120" w:type="dxa"/>
              <w:start w:w="120" w:type="dxa"/>
              <w:bottom w:w="120" w:type="dxa"/>
              <w:end w:w="120" w:type="dxa"/>
            </w:tcMar>
          </w:tcPr>
          <w:p>
            <w:pPr>
              <w:spacing w:after="40"/>
            </w:pPr>
            <w:r>
              <w:rPr>
                <w:sz w:val="18"/>
              </w:rPr>
              <w:t>DelAgua Tubeho Neza and Ci-Dev</w:t>
            </w:r>
          </w:p>
        </w:tc>
        <w:tc>
          <w:tcPr>
            <w:tcW w:type="dxa" w:w="3312"/>
            <w:vAlign w:val="center"/>
            <w:tcMar>
              <w:top w:w="120" w:type="dxa"/>
              <w:start w:w="120" w:type="dxa"/>
              <w:bottom w:w="120" w:type="dxa"/>
              <w:end w:w="120" w:type="dxa"/>
            </w:tcMar>
          </w:tcPr>
          <w:p>
            <w:pPr>
              <w:spacing w:after="40"/>
            </w:pPr>
            <w:r>
              <w:rPr>
                <w:sz w:val="18"/>
              </w:rPr>
              <w:t>Improved cookstove distribution, carbon finance, maintenance, and awareness.</w:t>
            </w:r>
          </w:p>
        </w:tc>
        <w:tc>
          <w:tcPr>
            <w:tcW w:type="dxa" w:w="3888"/>
            <w:vAlign w:val="center"/>
            <w:tcMar>
              <w:top w:w="120" w:type="dxa"/>
              <w:start w:w="120" w:type="dxa"/>
              <w:bottom w:w="120" w:type="dxa"/>
              <w:end w:w="120" w:type="dxa"/>
            </w:tcMar>
          </w:tcPr>
          <w:p>
            <w:pPr>
              <w:spacing w:after="40"/>
            </w:pPr>
            <w:r>
              <w:rPr>
                <w:sz w:val="18"/>
              </w:rPr>
              <w:t>Stories test household trust in distribution, maintenance, and programme continuity.</w:t>
            </w:r>
          </w:p>
        </w:tc>
      </w:tr>
      <w:tr>
        <w:tc>
          <w:tcPr>
            <w:tcW w:type="dxa" w:w="2592"/>
            <w:vAlign w:val="center"/>
            <w:tcMar>
              <w:top w:w="120" w:type="dxa"/>
              <w:start w:w="120" w:type="dxa"/>
              <w:bottom w:w="120" w:type="dxa"/>
              <w:end w:w="120" w:type="dxa"/>
            </w:tcMar>
          </w:tcPr>
          <w:p>
            <w:pPr>
              <w:spacing w:after="40"/>
            </w:pPr>
            <w:r>
              <w:rPr>
                <w:sz w:val="18"/>
              </w:rPr>
              <w:t>SEforALL eCooking pilot Kigali</w:t>
            </w:r>
          </w:p>
        </w:tc>
        <w:tc>
          <w:tcPr>
            <w:tcW w:type="dxa" w:w="3312"/>
            <w:vAlign w:val="center"/>
            <w:tcMar>
              <w:top w:w="120" w:type="dxa"/>
              <w:start w:w="120" w:type="dxa"/>
              <w:bottom w:w="120" w:type="dxa"/>
              <w:end w:w="120" w:type="dxa"/>
            </w:tcMar>
          </w:tcPr>
          <w:p>
            <w:pPr>
              <w:spacing w:after="40"/>
            </w:pPr>
            <w:r>
              <w:rPr>
                <w:sz w:val="18"/>
              </w:rPr>
              <w:t>Electric pressure cooker and e-cooking usage evidence.</w:t>
            </w:r>
          </w:p>
        </w:tc>
        <w:tc>
          <w:tcPr>
            <w:tcW w:type="dxa" w:w="3888"/>
            <w:vAlign w:val="center"/>
            <w:tcMar>
              <w:top w:w="120" w:type="dxa"/>
              <w:start w:w="120" w:type="dxa"/>
              <w:bottom w:w="120" w:type="dxa"/>
              <w:end w:w="120" w:type="dxa"/>
            </w:tcMar>
          </w:tcPr>
          <w:p>
            <w:pPr>
              <w:spacing w:after="40"/>
            </w:pPr>
            <w:r>
              <w:rPr>
                <w:sz w:val="18"/>
              </w:rPr>
              <w:t>Stories include EPC demonstrations, bills, power reliability, and food texture.</w:t>
            </w:r>
          </w:p>
        </w:tc>
      </w:tr>
      <w:tr>
        <w:tc>
          <w:tcPr>
            <w:tcW w:type="dxa" w:w="2592"/>
            <w:vAlign w:val="center"/>
            <w:tcMar>
              <w:top w:w="120" w:type="dxa"/>
              <w:start w:w="120" w:type="dxa"/>
              <w:bottom w:w="120" w:type="dxa"/>
              <w:end w:w="120" w:type="dxa"/>
            </w:tcMar>
          </w:tcPr>
          <w:p>
            <w:pPr>
              <w:spacing w:after="40"/>
            </w:pPr>
            <w:r>
              <w:rPr>
                <w:sz w:val="18"/>
              </w:rPr>
              <w:t>Rwanda RBF/EAQIP materials</w:t>
            </w:r>
          </w:p>
        </w:tc>
        <w:tc>
          <w:tcPr>
            <w:tcW w:type="dxa" w:w="3312"/>
            <w:vAlign w:val="center"/>
            <w:tcMar>
              <w:top w:w="120" w:type="dxa"/>
              <w:start w:w="120" w:type="dxa"/>
              <w:bottom w:w="120" w:type="dxa"/>
              <w:end w:w="120" w:type="dxa"/>
            </w:tcMar>
          </w:tcPr>
          <w:p>
            <w:pPr>
              <w:spacing w:after="40"/>
            </w:pPr>
            <w:r>
              <w:rPr>
                <w:sz w:val="18"/>
              </w:rPr>
              <w:t>Clean cooking targets, subsidy logic, stove performance, and access policy.</w:t>
            </w:r>
          </w:p>
        </w:tc>
        <w:tc>
          <w:tcPr>
            <w:tcW w:type="dxa" w:w="3888"/>
            <w:vAlign w:val="center"/>
            <w:tcMar>
              <w:top w:w="120" w:type="dxa"/>
              <w:start w:w="120" w:type="dxa"/>
              <w:bottom w:w="120" w:type="dxa"/>
              <w:end w:w="120" w:type="dxa"/>
            </w:tcMar>
          </w:tcPr>
          <w:p>
            <w:pPr>
              <w:spacing w:after="40"/>
            </w:pPr>
            <w:r>
              <w:rPr>
                <w:sz w:val="18"/>
              </w:rPr>
              <w:t>Records include policy-relevant fields for subsidy, cost, and transition friction.</w:t>
            </w:r>
          </w:p>
        </w:tc>
      </w:tr>
    </w:tbl>
    <w:p/>
    <w:p>
      <w:pPr>
        <w:pStyle w:val="Heading1"/>
      </w:pPr>
      <w:r>
        <w:t>Dataset design</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EAF0F8"/>
            <w:tcMar>
              <w:top w:w="120" w:type="dxa"/>
              <w:start w:w="120" w:type="dxa"/>
              <w:bottom w:w="120" w:type="dxa"/>
              <w:end w:w="120" w:type="dxa"/>
            </w:tcMar>
          </w:tcPr>
          <w:p>
            <w:r>
              <w:rPr>
                <w:b/>
                <w:sz w:val="19"/>
              </w:rPr>
              <w:t>Evidence route</w:t>
            </w:r>
          </w:p>
        </w:tc>
        <w:tc>
          <w:tcPr>
            <w:tcW w:type="dxa" w:w="1008"/>
            <w:shd w:fill="EAF0F8"/>
            <w:tcMar>
              <w:top w:w="120" w:type="dxa"/>
              <w:start w:w="120" w:type="dxa"/>
              <w:bottom w:w="120" w:type="dxa"/>
              <w:end w:w="120" w:type="dxa"/>
            </w:tcMar>
          </w:tcPr>
          <w:p>
            <w:r>
              <w:rPr>
                <w:b/>
                <w:sz w:val="19"/>
              </w:rPr>
              <w:t>Rows</w:t>
            </w:r>
          </w:p>
        </w:tc>
        <w:tc>
          <w:tcPr>
            <w:tcW w:type="dxa" w:w="6192"/>
            <w:shd w:fill="EAF0F8"/>
            <w:tcMar>
              <w:top w:w="120" w:type="dxa"/>
              <w:start w:w="120" w:type="dxa"/>
              <w:bottom w:w="120" w:type="dxa"/>
              <w:end w:w="120" w:type="dxa"/>
            </w:tcMar>
          </w:tcPr>
          <w:p>
            <w:r>
              <w:rPr>
                <w:b/>
                <w:sz w:val="19"/>
              </w:rPr>
              <w:t>Scientific purpose</w:t>
            </w:r>
          </w:p>
        </w:tc>
      </w:tr>
      <w:tr>
        <w:tc>
          <w:tcPr>
            <w:tcW w:type="dxa" w:w="2592"/>
            <w:vAlign w:val="center"/>
            <w:tcMar>
              <w:top w:w="120" w:type="dxa"/>
              <w:start w:w="120" w:type="dxa"/>
              <w:bottom w:w="120" w:type="dxa"/>
              <w:end w:w="120" w:type="dxa"/>
            </w:tcMar>
          </w:tcPr>
          <w:p>
            <w:pPr>
              <w:spacing w:after="40"/>
            </w:pPr>
            <w:r>
              <w:rPr>
                <w:sz w:val="18"/>
              </w:rPr>
              <w:t>Structured interview</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Q1-Q5 splitting, respondent profiles, and comparable enumerator protocols.</w:t>
            </w:r>
          </w:p>
        </w:tc>
      </w:tr>
      <w:tr>
        <w:tc>
          <w:tcPr>
            <w:tcW w:type="dxa" w:w="2592"/>
            <w:vAlign w:val="center"/>
            <w:tcMar>
              <w:top w:w="120" w:type="dxa"/>
              <w:start w:w="120" w:type="dxa"/>
              <w:bottom w:w="120" w:type="dxa"/>
              <w:end w:w="120" w:type="dxa"/>
            </w:tcMar>
          </w:tcPr>
          <w:p>
            <w:pPr>
              <w:spacing w:after="40"/>
            </w:pPr>
            <w:r>
              <w:rPr>
                <w:sz w:val="18"/>
              </w:rPr>
              <w:t>Open story</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multi-paragraph lived experience narratives.</w:t>
            </w:r>
          </w:p>
        </w:tc>
      </w:tr>
      <w:tr>
        <w:tc>
          <w:tcPr>
            <w:tcW w:type="dxa" w:w="2592"/>
            <w:vAlign w:val="center"/>
            <w:tcMar>
              <w:top w:w="120" w:type="dxa"/>
              <w:start w:w="120" w:type="dxa"/>
              <w:bottom w:w="120" w:type="dxa"/>
              <w:end w:w="120" w:type="dxa"/>
            </w:tcMar>
          </w:tcPr>
          <w:p>
            <w:pPr>
              <w:spacing w:after="40"/>
            </w:pPr>
            <w:r>
              <w:rPr>
                <w:sz w:val="18"/>
              </w:rPr>
              <w:t>Indigenous knowledge</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sensitivity, attribution, benefit sharing, and community validation.</w:t>
            </w:r>
          </w:p>
        </w:tc>
      </w:tr>
      <w:tr>
        <w:tc>
          <w:tcPr>
            <w:tcW w:type="dxa" w:w="2592"/>
            <w:vAlign w:val="center"/>
            <w:tcMar>
              <w:top w:w="120" w:type="dxa"/>
              <w:start w:w="120" w:type="dxa"/>
              <w:bottom w:w="120" w:type="dxa"/>
              <w:end w:w="120" w:type="dxa"/>
            </w:tcMar>
          </w:tcPr>
          <w:p>
            <w:pPr>
              <w:spacing w:after="40"/>
            </w:pPr>
            <w:r>
              <w:rPr>
                <w:sz w:val="18"/>
              </w:rPr>
              <w:t>Citizen science</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observation confidence, repeated behaviour, and local measurement claims.</w:t>
            </w:r>
          </w:p>
        </w:tc>
      </w:tr>
      <w:tr>
        <w:tc>
          <w:tcPr>
            <w:tcW w:type="dxa" w:w="2592"/>
            <w:vAlign w:val="center"/>
            <w:tcMar>
              <w:top w:w="120" w:type="dxa"/>
              <w:start w:w="120" w:type="dxa"/>
              <w:bottom w:w="120" w:type="dxa"/>
              <w:end w:w="120" w:type="dxa"/>
            </w:tcMar>
          </w:tcPr>
          <w:p>
            <w:pPr>
              <w:spacing w:after="40"/>
            </w:pPr>
            <w:r>
              <w:rPr>
                <w:sz w:val="18"/>
              </w:rPr>
              <w:t>Crowdsourced batch</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batch queues, duplication review, approval, and commit workflows.</w:t>
            </w:r>
          </w:p>
        </w:tc>
      </w:tr>
      <w:tr>
        <w:tc>
          <w:tcPr>
            <w:tcW w:type="dxa" w:w="2592"/>
            <w:vAlign w:val="center"/>
            <w:tcMar>
              <w:top w:w="120" w:type="dxa"/>
              <w:start w:w="120" w:type="dxa"/>
              <w:bottom w:w="120" w:type="dxa"/>
              <w:end w:w="120" w:type="dxa"/>
            </w:tcMar>
          </w:tcPr>
          <w:p>
            <w:pPr>
              <w:spacing w:after="40"/>
            </w:pPr>
            <w:r>
              <w:rPr>
                <w:sz w:val="18"/>
              </w:rPr>
              <w:t>Social media feeds</w:t>
            </w:r>
          </w:p>
        </w:tc>
        <w:tc>
          <w:tcPr>
            <w:tcW w:type="dxa" w:w="1008"/>
            <w:vAlign w:val="center"/>
            <w:tcMar>
              <w:top w:w="120" w:type="dxa"/>
              <w:start w:w="120" w:type="dxa"/>
              <w:bottom w:w="120" w:type="dxa"/>
              <w:end w:w="120" w:type="dxa"/>
            </w:tcMar>
          </w:tcPr>
          <w:p>
            <w:pPr>
              <w:spacing w:after="40"/>
            </w:pPr>
            <w:r>
              <w:rPr>
                <w:sz w:val="18"/>
              </w:rPr>
              <w:t>10</w:t>
            </w:r>
          </w:p>
        </w:tc>
        <w:tc>
          <w:tcPr>
            <w:tcW w:type="dxa" w:w="6192"/>
            <w:vAlign w:val="center"/>
            <w:tcMar>
              <w:top w:w="120" w:type="dxa"/>
              <w:start w:w="120" w:type="dxa"/>
              <w:bottom w:w="120" w:type="dxa"/>
              <w:end w:w="120" w:type="dxa"/>
            </w:tcMar>
          </w:tcPr>
          <w:p>
            <w:pPr>
              <w:spacing w:after="40"/>
            </w:pPr>
            <w:r>
              <w:rPr>
                <w:sz w:val="18"/>
              </w:rPr>
              <w:t>Tests digital listening, multi-platform feed metadata, and misinformation risk.</w:t>
            </w:r>
          </w:p>
        </w:tc>
      </w:tr>
    </w:tbl>
    <w:p/>
    <w:p>
      <w:pPr>
        <w:pStyle w:val="Heading1"/>
      </w:pPr>
      <w:r>
        <w:t>Expected NDIM behaviours to test</w:t>
      </w:r>
    </w:p>
    <w:p>
      <w:r>
        <w:t>The scores in the corpus are not model outputs. They are calibration targets for stress-testing the encoder and the user interface. High misinformation risk combined with low trust should raise inoculation opportunity. High trust with low barrier strength should support adoption acceleration. Indigenous knowledge should be locally grounded but should require explicit community validation before policy claims.</w:t>
      </w:r>
    </w:p>
    <w:tbl>
      <w:tblPr>
        <w:tblStyle w:val="TableGrid"/>
        <w:tblW w:type="auto" w:w="0"/>
        <w:jc w:val="center"/>
        <w:tblLook w:firstColumn="1" w:firstRow="1" w:lastColumn="0" w:lastRow="0" w:noHBand="0" w:noVBand="1" w:val="04A0"/>
      </w:tblPr>
      <w:tblGrid>
        <w:gridCol w:w="4986"/>
        <w:gridCol w:w="4986"/>
      </w:tblGrid>
      <w:tr>
        <w:tc>
          <w:tcPr>
            <w:tcW w:type="dxa" w:w="2880"/>
            <w:shd w:fill="EAF0F8"/>
            <w:tcMar>
              <w:top w:w="120" w:type="dxa"/>
              <w:start w:w="120" w:type="dxa"/>
              <w:bottom w:w="120" w:type="dxa"/>
              <w:end w:w="120" w:type="dxa"/>
            </w:tcMar>
          </w:tcPr>
          <w:p>
            <w:r>
              <w:rPr>
                <w:b/>
                <w:sz w:val="19"/>
              </w:rPr>
              <w:t>Signal</w:t>
            </w:r>
          </w:p>
        </w:tc>
        <w:tc>
          <w:tcPr>
            <w:tcW w:type="dxa" w:w="6912"/>
            <w:shd w:fill="EAF0F8"/>
            <w:tcMar>
              <w:top w:w="120" w:type="dxa"/>
              <w:start w:w="120" w:type="dxa"/>
              <w:bottom w:w="120" w:type="dxa"/>
              <w:end w:w="120" w:type="dxa"/>
            </w:tcMar>
          </w:tcPr>
          <w:p>
            <w:r>
              <w:rPr>
                <w:b/>
                <w:sz w:val="19"/>
              </w:rPr>
              <w:t>Expected tool behaviour</w:t>
            </w:r>
          </w:p>
        </w:tc>
      </w:tr>
      <w:tr>
        <w:tc>
          <w:tcPr>
            <w:tcW w:type="dxa" w:w="2880"/>
            <w:vAlign w:val="center"/>
            <w:tcMar>
              <w:top w:w="120" w:type="dxa"/>
              <w:start w:w="120" w:type="dxa"/>
              <w:bottom w:w="120" w:type="dxa"/>
              <w:end w:w="120" w:type="dxa"/>
            </w:tcMar>
          </w:tcPr>
          <w:p>
            <w:pPr>
              <w:spacing w:after="40"/>
            </w:pPr>
            <w:r>
              <w:rPr>
                <w:sz w:val="18"/>
              </w:rPr>
              <w:t>High barrier + high misinformation</w:t>
            </w:r>
          </w:p>
        </w:tc>
        <w:tc>
          <w:tcPr>
            <w:tcW w:type="dxa" w:w="6912"/>
            <w:vAlign w:val="center"/>
            <w:tcMar>
              <w:top w:w="120" w:type="dxa"/>
              <w:start w:w="120" w:type="dxa"/>
              <w:bottom w:w="120" w:type="dxa"/>
              <w:end w:w="120" w:type="dxa"/>
            </w:tcMar>
          </w:tcPr>
          <w:p>
            <w:pPr>
              <w:spacing w:after="40"/>
            </w:pPr>
            <w:r>
              <w:rPr>
                <w:sz w:val="18"/>
              </w:rPr>
              <w:t>Recommend prebunk/refutational messaging and trusted messenger testing before model influence.</w:t>
            </w:r>
          </w:p>
        </w:tc>
      </w:tr>
      <w:tr>
        <w:tc>
          <w:tcPr>
            <w:tcW w:type="dxa" w:w="2880"/>
            <w:vAlign w:val="center"/>
            <w:tcMar>
              <w:top w:w="120" w:type="dxa"/>
              <w:start w:w="120" w:type="dxa"/>
              <w:bottom w:w="120" w:type="dxa"/>
              <w:end w:w="120" w:type="dxa"/>
            </w:tcMar>
          </w:tcPr>
          <w:p>
            <w:pPr>
              <w:spacing w:after="40"/>
            </w:pPr>
            <w:r>
              <w:rPr>
                <w:sz w:val="18"/>
              </w:rPr>
              <w:t>High trust + low barrier</w:t>
            </w:r>
          </w:p>
        </w:tc>
        <w:tc>
          <w:tcPr>
            <w:tcW w:type="dxa" w:w="6912"/>
            <w:vAlign w:val="center"/>
            <w:tcMar>
              <w:top w:w="120" w:type="dxa"/>
              <w:start w:w="120" w:type="dxa"/>
              <w:bottom w:w="120" w:type="dxa"/>
              <w:end w:w="120" w:type="dxa"/>
            </w:tcMar>
          </w:tcPr>
          <w:p>
            <w:pPr>
              <w:spacing w:after="40"/>
            </w:pPr>
            <w:r>
              <w:rPr>
                <w:sz w:val="18"/>
              </w:rPr>
              <w:t>Treat as an acceleration opportunity and test peer-proof diffusion.</w:t>
            </w:r>
          </w:p>
        </w:tc>
      </w:tr>
      <w:tr>
        <w:tc>
          <w:tcPr>
            <w:tcW w:type="dxa" w:w="2880"/>
            <w:vAlign w:val="center"/>
            <w:tcMar>
              <w:top w:w="120" w:type="dxa"/>
              <w:start w:w="120" w:type="dxa"/>
              <w:bottom w:w="120" w:type="dxa"/>
              <w:end w:w="120" w:type="dxa"/>
            </w:tcMar>
          </w:tcPr>
          <w:p>
            <w:pPr>
              <w:spacing w:after="40"/>
            </w:pPr>
            <w:r>
              <w:rPr>
                <w:sz w:val="18"/>
              </w:rPr>
              <w:t>Sensitive indigenous knowledge</w:t>
            </w:r>
          </w:p>
        </w:tc>
        <w:tc>
          <w:tcPr>
            <w:tcW w:type="dxa" w:w="6912"/>
            <w:vAlign w:val="center"/>
            <w:tcMar>
              <w:top w:w="120" w:type="dxa"/>
              <w:start w:w="120" w:type="dxa"/>
              <w:bottom w:w="120" w:type="dxa"/>
              <w:end w:w="120" w:type="dxa"/>
            </w:tcMar>
          </w:tcPr>
          <w:p>
            <w:pPr>
              <w:spacing w:after="40"/>
            </w:pPr>
            <w:r>
              <w:rPr>
                <w:sz w:val="18"/>
              </w:rPr>
              <w:t>Hold for community validation and restrict visibility until benefit-sharing is clear.</w:t>
            </w:r>
          </w:p>
        </w:tc>
      </w:tr>
      <w:tr>
        <w:tc>
          <w:tcPr>
            <w:tcW w:type="dxa" w:w="2880"/>
            <w:vAlign w:val="center"/>
            <w:tcMar>
              <w:top w:w="120" w:type="dxa"/>
              <w:start w:w="120" w:type="dxa"/>
              <w:bottom w:w="120" w:type="dxa"/>
              <w:end w:w="120" w:type="dxa"/>
            </w:tcMar>
          </w:tcPr>
          <w:p>
            <w:pPr>
              <w:spacing w:after="40"/>
            </w:pPr>
            <w:r>
              <w:rPr>
                <w:sz w:val="18"/>
              </w:rPr>
              <w:t>Social media feed</w:t>
            </w:r>
          </w:p>
        </w:tc>
        <w:tc>
          <w:tcPr>
            <w:tcW w:type="dxa" w:w="6912"/>
            <w:vAlign w:val="center"/>
            <w:tcMar>
              <w:top w:w="120" w:type="dxa"/>
              <w:start w:w="120" w:type="dxa"/>
              <w:bottom w:w="120" w:type="dxa"/>
              <w:end w:w="120" w:type="dxa"/>
            </w:tcMar>
          </w:tcPr>
          <w:p>
            <w:pPr>
              <w:spacing w:after="40"/>
            </w:pPr>
            <w:r>
              <w:rPr>
                <w:sz w:val="18"/>
              </w:rPr>
              <w:t>Keep experimental status, require triangulation, and avoid direct policy claims before validation.</w:t>
            </w:r>
          </w:p>
        </w:tc>
      </w:tr>
      <w:tr>
        <w:tc>
          <w:tcPr>
            <w:tcW w:type="dxa" w:w="2880"/>
            <w:vAlign w:val="center"/>
            <w:tcMar>
              <w:top w:w="120" w:type="dxa"/>
              <w:start w:w="120" w:type="dxa"/>
              <w:bottom w:w="120" w:type="dxa"/>
              <w:end w:w="120" w:type="dxa"/>
            </w:tcMar>
          </w:tcPr>
          <w:p>
            <w:pPr>
              <w:spacing w:after="40"/>
            </w:pPr>
            <w:r>
              <w:rPr>
                <w:sz w:val="18"/>
              </w:rPr>
              <w:t>Citizen observation</w:t>
            </w:r>
          </w:p>
        </w:tc>
        <w:tc>
          <w:tcPr>
            <w:tcW w:type="dxa" w:w="6912"/>
            <w:vAlign w:val="center"/>
            <w:tcMar>
              <w:top w:w="120" w:type="dxa"/>
              <w:start w:w="120" w:type="dxa"/>
              <w:bottom w:w="120" w:type="dxa"/>
              <w:end w:w="120" w:type="dxa"/>
            </w:tcMar>
          </w:tcPr>
          <w:p>
            <w:pPr>
              <w:spacing w:after="40"/>
            </w:pPr>
            <w:r>
              <w:rPr>
                <w:sz w:val="18"/>
              </w:rPr>
              <w:t>Use as situated evidence with confidence level and repeated-behaviour context.</w:t>
            </w:r>
          </w:p>
        </w:tc>
      </w:tr>
    </w:tbl>
    <w:p/>
    <w:p>
      <w:pPr>
        <w:pStyle w:val="Heading1"/>
      </w:pPr>
      <w:r>
        <w:t>Limitations and research ethics</w:t>
      </w:r>
    </w:p>
    <w:p>
      <w:r>
        <w:t>The corpus is synthetic. It should be used to test ingestion, governance, encoding, modelling, and reporting, not to make substantive claims about any named community. Real field use would require consent, data protection review, translation protocols, double coding, inter-rater reliability checks, community validation, and a clear process for returning insights to contributors.</w:t>
      </w:r>
    </w:p>
    <w:p>
      <w:r>
        <w:t>The report also does not replace a systematic literature review. It is a focused desk review intended to ground test-data design in plausible Rwanda clean-cooking contexts.</w:t>
      </w:r>
    </w:p>
    <w:p>
      <w:pPr>
        <w:pStyle w:val="Heading1"/>
      </w:pPr>
      <w:r>
        <w:t>Generated files</w:t>
      </w:r>
    </w:p>
    <w:tbl>
      <w:tblPr>
        <w:tblStyle w:val="TableGrid"/>
        <w:tblW w:type="auto" w:w="0"/>
        <w:jc w:val="center"/>
        <w:tblLook w:firstColumn="1" w:firstRow="1" w:lastColumn="0" w:lastRow="0" w:noHBand="0" w:noVBand="1" w:val="04A0"/>
      </w:tblPr>
      <w:tblGrid>
        <w:gridCol w:w="3324"/>
        <w:gridCol w:w="3324"/>
        <w:gridCol w:w="3324"/>
      </w:tblGrid>
      <w:tr>
        <w:tc>
          <w:tcPr>
            <w:tcW w:type="dxa" w:w="2304"/>
            <w:shd w:fill="EAF0F8"/>
            <w:tcMar>
              <w:top w:w="120" w:type="dxa"/>
              <w:start w:w="120" w:type="dxa"/>
              <w:bottom w:w="120" w:type="dxa"/>
              <w:end w:w="120" w:type="dxa"/>
            </w:tcMar>
          </w:tcPr>
          <w:p>
            <w:r>
              <w:rPr>
                <w:b/>
                <w:sz w:val="19"/>
              </w:rPr>
              <w:t>Item</w:t>
            </w:r>
          </w:p>
        </w:tc>
        <w:tc>
          <w:tcPr>
            <w:tcW w:type="dxa" w:w="4320"/>
            <w:shd w:fill="EAF0F8"/>
            <w:tcMar>
              <w:top w:w="120" w:type="dxa"/>
              <w:start w:w="120" w:type="dxa"/>
              <w:bottom w:w="120" w:type="dxa"/>
              <w:end w:w="120" w:type="dxa"/>
            </w:tcMar>
          </w:tcPr>
          <w:p>
            <w:r>
              <w:rPr>
                <w:b/>
                <w:sz w:val="19"/>
              </w:rPr>
              <w:t>Filename</w:t>
            </w:r>
          </w:p>
        </w:tc>
        <w:tc>
          <w:tcPr>
            <w:tcW w:type="dxa" w:w="3168"/>
            <w:shd w:fill="EAF0F8"/>
            <w:tcMar>
              <w:top w:w="120" w:type="dxa"/>
              <w:start w:w="120" w:type="dxa"/>
              <w:bottom w:w="120" w:type="dxa"/>
              <w:end w:w="120" w:type="dxa"/>
            </w:tcMar>
          </w:tcPr>
          <w:p>
            <w:r>
              <w:rPr>
                <w:b/>
                <w:sz w:val="19"/>
              </w:rPr>
              <w:t>Use</w:t>
            </w:r>
          </w:p>
        </w:tc>
      </w:tr>
      <w:tr>
        <w:tc>
          <w:tcPr>
            <w:tcW w:type="dxa" w:w="2304"/>
            <w:vAlign w:val="center"/>
            <w:tcMar>
              <w:top w:w="120" w:type="dxa"/>
              <w:start w:w="120" w:type="dxa"/>
              <w:bottom w:w="120" w:type="dxa"/>
              <w:end w:w="120" w:type="dxa"/>
            </w:tcMar>
          </w:tcPr>
          <w:p>
            <w:pPr>
              <w:spacing w:after="40"/>
            </w:pPr>
            <w:r>
              <w:rPr>
                <w:sz w:val="18"/>
              </w:rPr>
              <w:t>Combined corpus</w:t>
            </w:r>
          </w:p>
        </w:tc>
        <w:tc>
          <w:tcPr>
            <w:tcW w:type="dxa" w:w="4320"/>
            <w:vAlign w:val="center"/>
            <w:tcMar>
              <w:top w:w="120" w:type="dxa"/>
              <w:start w:w="120" w:type="dxa"/>
              <w:bottom w:w="120" w:type="dxa"/>
              <w:end w:w="120" w:type="dxa"/>
            </w:tcMar>
          </w:tcPr>
          <w:p>
            <w:pPr>
              <w:spacing w:after="40"/>
            </w:pPr>
            <w:r>
              <w:rPr>
                <w:sz w:val="18"/>
              </w:rPr>
              <w:t>climatetales_ndim_synthetic_narratives_master.csv</w:t>
            </w:r>
          </w:p>
        </w:tc>
        <w:tc>
          <w:tcPr>
            <w:tcW w:type="dxa" w:w="3168"/>
            <w:vAlign w:val="center"/>
            <w:tcMar>
              <w:top w:w="120" w:type="dxa"/>
              <w:start w:w="120" w:type="dxa"/>
              <w:bottom w:w="120" w:type="dxa"/>
              <w:end w:w="120" w:type="dxa"/>
            </w:tcMar>
          </w:tcPr>
          <w:p>
            <w:pPr>
              <w:spacing w:after="40"/>
            </w:pPr>
            <w:r>
              <w:rPr>
                <w:sz w:val="18"/>
              </w:rPr>
              <w:t>60 rows across all routes</w:t>
            </w:r>
          </w:p>
        </w:tc>
      </w:tr>
      <w:tr>
        <w:tc>
          <w:tcPr>
            <w:tcW w:type="dxa" w:w="2304"/>
            <w:vAlign w:val="center"/>
            <w:tcMar>
              <w:top w:w="120" w:type="dxa"/>
              <w:start w:w="120" w:type="dxa"/>
              <w:bottom w:w="120" w:type="dxa"/>
              <w:end w:w="120" w:type="dxa"/>
            </w:tcMar>
          </w:tcPr>
          <w:p>
            <w:pPr>
              <w:spacing w:after="40"/>
            </w:pPr>
            <w:r>
              <w:rPr>
                <w:sz w:val="18"/>
              </w:rPr>
              <w:t>structured_interview</w:t>
            </w:r>
          </w:p>
        </w:tc>
        <w:tc>
          <w:tcPr>
            <w:tcW w:type="dxa" w:w="4320"/>
            <w:vAlign w:val="center"/>
            <w:tcMar>
              <w:top w:w="120" w:type="dxa"/>
              <w:start w:w="120" w:type="dxa"/>
              <w:bottom w:w="120" w:type="dxa"/>
              <w:end w:w="120" w:type="dxa"/>
            </w:tcMar>
          </w:tcPr>
          <w:p>
            <w:pPr>
              <w:spacing w:after="40"/>
            </w:pPr>
            <w:r>
              <w:rPr>
                <w:sz w:val="18"/>
              </w:rPr>
              <w:t>climatetales_structured_interview_synthetic.csv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open_story</w:t>
            </w:r>
          </w:p>
        </w:tc>
        <w:tc>
          <w:tcPr>
            <w:tcW w:type="dxa" w:w="4320"/>
            <w:vAlign w:val="center"/>
            <w:tcMar>
              <w:top w:w="120" w:type="dxa"/>
              <w:start w:w="120" w:type="dxa"/>
              <w:bottom w:w="120" w:type="dxa"/>
              <w:end w:w="120" w:type="dxa"/>
            </w:tcMar>
          </w:tcPr>
          <w:p>
            <w:pPr>
              <w:spacing w:after="40"/>
            </w:pPr>
            <w:r>
              <w:rPr>
                <w:sz w:val="18"/>
              </w:rPr>
              <w:t>climatetales_open_story_synthetic.csv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indigenous_knowledge</w:t>
            </w:r>
          </w:p>
        </w:tc>
        <w:tc>
          <w:tcPr>
            <w:tcW w:type="dxa" w:w="4320"/>
            <w:vAlign w:val="center"/>
            <w:tcMar>
              <w:top w:w="120" w:type="dxa"/>
              <w:start w:w="120" w:type="dxa"/>
              <w:bottom w:w="120" w:type="dxa"/>
              <w:end w:w="120" w:type="dxa"/>
            </w:tcMar>
          </w:tcPr>
          <w:p>
            <w:pPr>
              <w:spacing w:after="40"/>
            </w:pPr>
            <w:r>
              <w:rPr>
                <w:sz w:val="18"/>
              </w:rPr>
              <w:t>climatetales_indigenous_knowledge_synthetic.csv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citizen_science</w:t>
            </w:r>
          </w:p>
        </w:tc>
        <w:tc>
          <w:tcPr>
            <w:tcW w:type="dxa" w:w="4320"/>
            <w:vAlign w:val="center"/>
            <w:tcMar>
              <w:top w:w="120" w:type="dxa"/>
              <w:start w:w="120" w:type="dxa"/>
              <w:bottom w:w="120" w:type="dxa"/>
              <w:end w:w="120" w:type="dxa"/>
            </w:tcMar>
          </w:tcPr>
          <w:p>
            <w:pPr>
              <w:spacing w:after="40"/>
            </w:pPr>
            <w:r>
              <w:rPr>
                <w:sz w:val="18"/>
              </w:rPr>
              <w:t>climatetales_citizen_science_synthetic.csv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crowd_batch</w:t>
            </w:r>
          </w:p>
        </w:tc>
        <w:tc>
          <w:tcPr>
            <w:tcW w:type="dxa" w:w="4320"/>
            <w:vAlign w:val="center"/>
            <w:tcMar>
              <w:top w:w="120" w:type="dxa"/>
              <w:start w:w="120" w:type="dxa"/>
              <w:bottom w:w="120" w:type="dxa"/>
              <w:end w:w="120" w:type="dxa"/>
            </w:tcMar>
          </w:tcPr>
          <w:p>
            <w:pPr>
              <w:spacing w:after="40"/>
            </w:pPr>
            <w:r>
              <w:rPr>
                <w:sz w:val="18"/>
              </w:rPr>
              <w:t>climatetales_crowdsourced_batch_synthetic.csv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experimental_feed</w:t>
            </w:r>
          </w:p>
        </w:tc>
        <w:tc>
          <w:tcPr>
            <w:tcW w:type="dxa" w:w="4320"/>
            <w:vAlign w:val="center"/>
            <w:tcMar>
              <w:top w:w="120" w:type="dxa"/>
              <w:start w:w="120" w:type="dxa"/>
              <w:bottom w:w="120" w:type="dxa"/>
              <w:end w:w="120" w:type="dxa"/>
            </w:tcMar>
          </w:tcPr>
          <w:p>
            <w:pPr>
              <w:spacing w:after="40"/>
            </w:pPr>
            <w:r>
              <w:rPr>
                <w:sz w:val="18"/>
              </w:rPr>
              <w:t>climatetales_social_media_feeds_synthetic.csv</w:t>
            </w:r>
          </w:p>
        </w:tc>
        <w:tc>
          <w:tcPr>
            <w:tcW w:type="dxa" w:w="3168"/>
            <w:vAlign w:val="center"/>
            <w:tcMar>
              <w:top w:w="120" w:type="dxa"/>
              <w:start w:w="120" w:type="dxa"/>
              <w:bottom w:w="120" w:type="dxa"/>
              <w:end w:w="120" w:type="dxa"/>
            </w:tcMar>
          </w:tcPr>
          <w:p>
            <w:pPr>
              <w:spacing w:after="40"/>
            </w:pPr>
            <w:r>
              <w:rPr>
                <w:sz w:val="18"/>
              </w:rPr>
              <w:t>10 rows</w:t>
            </w:r>
          </w:p>
        </w:tc>
      </w:tr>
      <w:tr>
        <w:tc>
          <w:tcPr>
            <w:tcW w:type="dxa" w:w="2304"/>
            <w:vAlign w:val="center"/>
            <w:tcMar>
              <w:top w:w="120" w:type="dxa"/>
              <w:start w:w="120" w:type="dxa"/>
              <w:bottom w:w="120" w:type="dxa"/>
              <w:end w:w="120" w:type="dxa"/>
            </w:tcMar>
          </w:tcPr>
          <w:p>
            <w:pPr>
              <w:spacing w:after="40"/>
            </w:pPr>
            <w:r>
              <w:rPr>
                <w:sz w:val="18"/>
              </w:rPr>
              <w:t>Bonus story</w:t>
            </w:r>
          </w:p>
        </w:tc>
        <w:tc>
          <w:tcPr>
            <w:tcW w:type="dxa" w:w="4320"/>
            <w:vAlign w:val="center"/>
            <w:tcMar>
              <w:top w:w="120" w:type="dxa"/>
              <w:start w:w="120" w:type="dxa"/>
              <w:bottom w:w="120" w:type="dxa"/>
              <w:end w:w="120" w:type="dxa"/>
            </w:tcMar>
          </w:tcPr>
          <w:p>
            <w:pPr>
              <w:spacing w:after="40"/>
            </w:pPr>
            <w:r>
              <w:rPr>
                <w:sz w:val="18"/>
              </w:rPr>
              <w:t>climatetales_bonus_manual_story.txt</w:t>
            </w:r>
          </w:p>
        </w:tc>
        <w:tc>
          <w:tcPr>
            <w:tcW w:type="dxa" w:w="3168"/>
            <w:vAlign w:val="center"/>
            <w:tcMar>
              <w:top w:w="120" w:type="dxa"/>
              <w:start w:w="120" w:type="dxa"/>
              <w:bottom w:w="120" w:type="dxa"/>
              <w:end w:w="120" w:type="dxa"/>
            </w:tcMar>
          </w:tcPr>
          <w:p>
            <w:pPr>
              <w:spacing w:after="40"/>
            </w:pPr>
            <w:r>
              <w:rPr>
                <w:sz w:val="18"/>
              </w:rPr>
              <w:t>Single TXT story for manual upload</w:t>
            </w:r>
          </w:p>
        </w:tc>
      </w:tr>
      <w:tr>
        <w:tc>
          <w:tcPr>
            <w:tcW w:type="dxa" w:w="2304"/>
            <w:vAlign w:val="center"/>
            <w:tcMar>
              <w:top w:w="120" w:type="dxa"/>
              <w:start w:w="120" w:type="dxa"/>
              <w:bottom w:w="120" w:type="dxa"/>
              <w:end w:w="120" w:type="dxa"/>
            </w:tcMar>
          </w:tcPr>
          <w:p>
            <w:pPr>
              <w:spacing w:after="40"/>
            </w:pPr>
            <w:r>
              <w:rPr>
                <w:sz w:val="18"/>
              </w:rPr>
              <w:t>Desk review</w:t>
            </w:r>
          </w:p>
        </w:tc>
        <w:tc>
          <w:tcPr>
            <w:tcW w:type="dxa" w:w="4320"/>
            <w:vAlign w:val="center"/>
            <w:tcMar>
              <w:top w:w="120" w:type="dxa"/>
              <w:start w:w="120" w:type="dxa"/>
              <w:bottom w:w="120" w:type="dxa"/>
              <w:end w:w="120" w:type="dxa"/>
            </w:tcMar>
          </w:tcPr>
          <w:p>
            <w:pPr>
              <w:spacing w:after="40"/>
            </w:pPr>
            <w:r>
              <w:rPr>
                <w:sz w:val="18"/>
              </w:rPr>
              <w:t>climatetales_ndim_desk_review_report.docx</w:t>
            </w:r>
          </w:p>
        </w:tc>
        <w:tc>
          <w:tcPr>
            <w:tcW w:type="dxa" w:w="3168"/>
            <w:vAlign w:val="center"/>
            <w:tcMar>
              <w:top w:w="120" w:type="dxa"/>
              <w:start w:w="120" w:type="dxa"/>
              <w:bottom w:w="120" w:type="dxa"/>
              <w:end w:w="120" w:type="dxa"/>
            </w:tcMar>
          </w:tcPr>
          <w:p>
            <w:pPr>
              <w:spacing w:after="40"/>
            </w:pPr>
            <w:r>
              <w:rPr>
                <w:sz w:val="18"/>
              </w:rPr>
              <w:t>Editable DOCX report</w:t>
            </w:r>
          </w:p>
        </w:tc>
      </w:tr>
      <w:tr>
        <w:tc>
          <w:tcPr>
            <w:tcW w:type="dxa" w:w="2304"/>
            <w:vAlign w:val="center"/>
            <w:tcMar>
              <w:top w:w="120" w:type="dxa"/>
              <w:start w:w="120" w:type="dxa"/>
              <w:bottom w:w="120" w:type="dxa"/>
              <w:end w:w="120" w:type="dxa"/>
            </w:tcMar>
          </w:tcPr>
          <w:p>
            <w:pPr>
              <w:spacing w:after="40"/>
            </w:pPr>
            <w:r>
              <w:rPr>
                <w:sz w:val="18"/>
              </w:rPr>
              <w:t>Desk review</w:t>
            </w:r>
          </w:p>
        </w:tc>
        <w:tc>
          <w:tcPr>
            <w:tcW w:type="dxa" w:w="4320"/>
            <w:vAlign w:val="center"/>
            <w:tcMar>
              <w:top w:w="120" w:type="dxa"/>
              <w:start w:w="120" w:type="dxa"/>
              <w:bottom w:w="120" w:type="dxa"/>
              <w:end w:w="120" w:type="dxa"/>
            </w:tcMar>
          </w:tcPr>
          <w:p>
            <w:pPr>
              <w:spacing w:after="40"/>
            </w:pPr>
            <w:r>
              <w:rPr>
                <w:sz w:val="18"/>
              </w:rPr>
              <w:t>climatetales_ndim_desk_review_report.pdf</w:t>
            </w:r>
          </w:p>
        </w:tc>
        <w:tc>
          <w:tcPr>
            <w:tcW w:type="dxa" w:w="3168"/>
            <w:vAlign w:val="center"/>
            <w:tcMar>
              <w:top w:w="120" w:type="dxa"/>
              <w:start w:w="120" w:type="dxa"/>
              <w:bottom w:w="120" w:type="dxa"/>
              <w:end w:w="120" w:type="dxa"/>
            </w:tcMar>
          </w:tcPr>
          <w:p>
            <w:pPr>
              <w:spacing w:after="40"/>
            </w:pPr>
            <w:r>
              <w:rPr>
                <w:sz w:val="18"/>
              </w:rPr>
              <w:t>Printable PDF report</w:t>
            </w:r>
          </w:p>
        </w:tc>
      </w:tr>
    </w:tbl>
    <w:p/>
    <w:p>
      <w:pPr>
        <w:pStyle w:val="Heading1"/>
      </w:pPr>
      <w:r>
        <w:t>References</w:t>
      </w:r>
    </w:p>
    <w:p>
      <w:pPr>
        <w:ind w:left="340" w:hanging="340"/>
      </w:pPr>
      <w:r>
        <w:t>AIMS-Imperial. (2025). ClimateTales: Driving Clean Climate Tech Adoption Through Cultural Narratives in Rwanda. AIMS Partnerships Fund proposal.</w:t>
      </w:r>
    </w:p>
    <w:p>
      <w:pPr>
        <w:ind w:left="340" w:hanging="340"/>
      </w:pPr>
      <w:r>
        <w:t>Ci-Dev. (2024). Rwanda: Clean and Improved Cooking DelAgua. https://www.ci-dev.org/programs/rwanda-clean-and-improved-cooking-delagua</w:t>
      </w:r>
    </w:p>
    <w:p>
      <w:pPr>
        <w:ind w:left="340" w:hanging="340"/>
      </w:pPr>
      <w:r>
        <w:t>DelAgua. (2026). Project Rwanda: Tubeho Neza. https://www.delagua.org/project-rwanda/</w:t>
      </w:r>
    </w:p>
    <w:p>
      <w:pPr>
        <w:ind w:left="340" w:hanging="340"/>
      </w:pPr>
      <w:r>
        <w:t>Rwanda Energy Group / EDCL. (2026). RBF Clean Cooking. https://www.reg.rw/what-we-do/rbf-programs/rbf-clean-cooking/</w:t>
      </w:r>
    </w:p>
    <w:p>
      <w:pPr>
        <w:ind w:left="340" w:hanging="340"/>
      </w:pPr>
      <w:r>
        <w:t>Seguin, R., et al. (2018). Barriers and facilitators to adoption and use of fuel pellets and improved cookstoves in urban Rwanda. PLOS ONE / RTI. https://www.rti.org/publication/barriers-facilitators-adoption-use-fuel-pellets-improved-cookstoves-urban-rwanda</w:t>
      </w:r>
    </w:p>
    <w:p>
      <w:pPr>
        <w:ind w:left="340" w:hanging="340"/>
      </w:pPr>
      <w:r>
        <w:t>SEforALL. (2023). Examining the experience of e-cooking pilot in Kigali, Rwanda. https://www.seforall.org/system/files/2023-11/report-rwanda-clean-cooking-Nov-10.pdf</w:t>
      </w:r>
    </w:p>
    <w:p>
      <w:pPr>
        <w:ind w:left="340" w:hanging="340"/>
      </w:pPr>
      <w:r>
        <w:t>SNV. (2024). Reducing Climate Impact of Cooking in Rwanda through improved cooking energy systems (ReCIC). https://www.snv.org/project/reducing-climate-impact-of-cooking-in-rwanda-through-improved-cooking-energy-systems-recic</w:t>
      </w:r>
    </w:p>
    <w:p>
      <w:pPr>
        <w:ind w:left="340" w:hanging="340"/>
      </w:pPr>
      <w:r>
        <w:t>WHO. (2023). Opportunities for transition to clean household energy in Rwanda. https://www.who.int/publications/i/item/9789240066625</w:t>
      </w:r>
    </w:p>
    <w:p>
      <w:pPr>
        <w:sectPr>
          <w:pgSz w:w="12240" w:h="15840"/>
          <w:pgMar w:top="1020" w:right="1134" w:bottom="1020" w:left="1134" w:header="720" w:footer="720" w:gutter="0"/>
          <w:cols w:space="720"/>
          <w:docGrid w:linePitch="360"/>
        </w:sectPr>
      </w:pPr>
    </w:p>
    <w:p>
      <w:pPr>
        <w:pStyle w:val="Heading1"/>
      </w:pPr>
      <w:r>
        <w:t>Appendix: proposal signals extracted into corpus design</w:t>
      </w:r>
    </w:p>
    <w:p>
      <w:pPr>
        <w:pStyle w:val="ListBullet"/>
      </w:pPr>
      <w:r>
        <w:t>Social insight mining: reflected through field notes, structured interviews, citizen reports, and social media feed records.</w:t>
      </w:r>
    </w:p>
    <w:p>
      <w:pPr>
        <w:pStyle w:val="ListBullet"/>
      </w:pPr>
      <w:r>
        <w:t>Behavioural design labs: reflected through intervention_channel, trusted_messenger, and inoculation_opportunity fields.</w:t>
      </w:r>
    </w:p>
    <w:p>
      <w:pPr>
        <w:pStyle w:val="ListBullet"/>
      </w:pPr>
      <w:r>
        <w:t>Gamified influence simulator: reflected through expected_ndim_signal and calibrated variation in trust, barriers, and misinformation.</w:t>
      </w:r>
    </w:p>
    <w:p>
      <w:pPr>
        <w:pStyle w:val="ListBullet"/>
      </w:pPr>
      <w:r>
        <w:t>Story activation pilots: reflected through counter-message opportunities and local messenger recommendations.</w:t>
      </w:r>
    </w:p>
    <w:p>
      <w:pPr>
        <w:pStyle w:val="ListBullet"/>
      </w:pPr>
      <w:r>
        <w:t>Community influencer training: reflected through youth catalysts, community health workers, teachers, elders, and savings-group leaders.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46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D56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D56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1D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