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บทท-2-ทฤษฎและงานวจยทเกยวของ"/>
    <w:p>
      <w:pPr>
        <w:pStyle w:val="Heading1"/>
      </w:pPr>
      <w:r>
        <w:t xml:space="preserve">บทที่ 2: ทฤษฎีและงานวิจัยที่เกี่ยวข้อง</w:t>
      </w:r>
    </w:p>
    <w:bookmarkEnd w:id="9"/>
    <w:bookmarkStart w:id="67" w:name="literature-review-theory"/>
    <w:p>
      <w:pPr>
        <w:pStyle w:val="Heading1"/>
      </w:pPr>
      <w:r>
        <w:t xml:space="preserve">(Literature Review &amp; Theory)</w:t>
      </w:r>
    </w:p>
    <w:p>
      <w:pPr>
        <w:pStyle w:val="BlockText"/>
      </w:pPr>
      <w:r>
        <w:rPr>
          <w:b/>
          <w:bCs/>
        </w:rPr>
        <w:t xml:space="preserve">ผู้เขียน:</w:t>
      </w:r>
      <w:r>
        <w:t xml:space="preserve"> </w:t>
      </w:r>
      <w:r>
        <w:t xml:space="preserve">ชินวัตร ดำกลาง (Napoleon)</w:t>
      </w:r>
      <w:r>
        <w:t xml:space="preserve"> </w:t>
      </w:r>
      <w:r>
        <w:rPr>
          <w:b/>
          <w:bCs/>
        </w:rPr>
        <w:t xml:space="preserve">โครงงาน:</w:t>
      </w:r>
      <w:r>
        <w:t xml:space="preserve"> </w:t>
      </w:r>
      <w:r>
        <w:t xml:space="preserve">Virtual Synchronous Generator (VSG) for Grid-Connected Inverter</w:t>
      </w:r>
      <w:r>
        <w:t xml:space="preserve"> </w:t>
      </w:r>
      <w:r>
        <w:rPr>
          <w:b/>
          <w:bCs/>
        </w:rPr>
        <w:t xml:space="preserve">สถานะ:</w:t>
      </w:r>
      <w:r>
        <w:t xml:space="preserve"> </w:t>
      </w:r>
      <w:r>
        <w:t xml:space="preserve">Draft v3 — ครบทั้ง 5 sections; เติม authors + DOI + IEEE Xplore doc# จาก IEEE Xplore แล้ว (เหลือ verify spelling 2 รายการ — ดูท้ายไฟล์)</w:t>
      </w:r>
    </w:p>
    <w:p>
      <w:r>
        <w:pict>
          <v:rect style="width:0;height:1.5pt" o:hralign="center" o:hrstd="t" o:hr="t"/>
        </w:pict>
      </w:r>
    </w:p>
    <w:bookmarkStart w:id="13" w:name="Xf64d707bdb96ea59f61248347a05aa6c3d8331c"/>
    <w:p>
      <w:pPr>
        <w:pStyle w:val="Heading2"/>
      </w:pPr>
      <w:r>
        <w:t xml:space="preserve">2.1 ลักษณะระบบอินเวอร์เตอร์แบบ Grid-Following และ Grid-Forming</w:t>
      </w:r>
    </w:p>
    <w:p>
      <w:pPr>
        <w:pStyle w:val="FirstParagraph"/>
      </w:pPr>
      <w:r>
        <w:t xml:space="preserve">ในระบบโครงข่ายไฟฟ้ายุคใหม่ที่มีการเชื่อมต่อแหล่งพลังงานหมุนเวียน (Renewable Energy Sources, RES) ผ่านอินเวอร์เตอร์อิเล็กทรอนิกส์กำลังสูงขึ้นเรื่อย ๆ การจำแนกอินเวอร์เตอร์โดยพิจารณาจาก</w:t>
      </w:r>
      <w:r>
        <w:t xml:space="preserve"> </w:t>
      </w:r>
      <w:r>
        <w:rPr>
          <w:i/>
          <w:iCs/>
        </w:rPr>
        <w:t xml:space="preserve">พฤติกรรมในการเชื่อมต่อกับกริด</w:t>
      </w:r>
      <w:r>
        <w:t xml:space="preserve"> </w:t>
      </w:r>
      <w:r>
        <w:t xml:space="preserve">(grid interface behavior) ถูกแบ่งออกเป็นสองกลุ่มหลัก ได้แก่</w:t>
      </w:r>
      <w:r>
        <w:t xml:space="preserve"> </w:t>
      </w:r>
      <w:r>
        <w:rPr>
          <w:b/>
          <w:bCs/>
        </w:rPr>
        <w:t xml:space="preserve">Grid-Following Inverter (GFL)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Grid-Forming Inverter (GFM)</w:t>
      </w:r>
      <w:r>
        <w:t xml:space="preserve"> </w:t>
      </w:r>
      <w:r>
        <w:t xml:space="preserve">[Rocabert et al., 2012; Lasseter et al., 2020]</w:t>
      </w:r>
    </w:p>
    <w:bookmarkStart w:id="10" w:name="grid-following-inverter-gfl"/>
    <w:p>
      <w:pPr>
        <w:pStyle w:val="Heading3"/>
      </w:pPr>
      <w:r>
        <w:t xml:space="preserve">2.1.1 Grid-Following Inverter (GFL)</w:t>
      </w:r>
    </w:p>
    <w:p>
      <w:pPr>
        <w:pStyle w:val="FirstParagraph"/>
      </w:pPr>
      <w:r>
        <w:t xml:space="preserve">อินเวอร์เตอร์แบบ GFL ทำหน้าที่เป็น</w:t>
      </w:r>
      <w:r>
        <w:t xml:space="preserve"> </w:t>
      </w:r>
      <w:r>
        <w:rPr>
          <w:b/>
          <w:bCs/>
        </w:rPr>
        <w:t xml:space="preserve">แหล่งจ่ายกระแสควบคุมได้ (controlled current source)</w:t>
      </w:r>
      <w:r>
        <w:t xml:space="preserve"> </w:t>
      </w:r>
      <w:r>
        <w:t xml:space="preserve">โดยฉีดกระแสเข้าสู่กริดตามค่ากำลัง P, Q ที่ถูกสั่งการ การทำงานของ GFL จำเป็นต้องอ้างอิงสัญญาณแรงดันและความถี่จากกริดที่มีอยู่แล้ว ผ่านวงจร Phase-Locked Loop (PLL) เพื่อ synchronize เฟสและความถี่ ดังนั้น GFL จึง</w:t>
      </w:r>
      <w:r>
        <w:t xml:space="preserve"> </w:t>
      </w:r>
      <w:r>
        <w:rPr>
          <w:i/>
          <w:iCs/>
        </w:rPr>
        <w:t xml:space="preserve">ต้องการกริดที่แข็งแรง (stiff grid)</w:t>
      </w:r>
      <w:r>
        <w:t xml:space="preserve"> </w:t>
      </w:r>
      <w:r>
        <w:t xml:space="preserve">ในการทำงาน</w:t>
      </w:r>
    </w:p>
    <w:p>
      <w:pPr>
        <w:pStyle w:val="BodyText"/>
      </w:pPr>
      <w:r>
        <w:rPr>
          <w:b/>
          <w:bCs/>
        </w:rPr>
        <w:t xml:space="preserve">คุณลักษณะหลัก:</w:t>
      </w:r>
      <w:r>
        <w:t xml:space="preserve"> </w:t>
      </w:r>
      <w:r>
        <w:t xml:space="preserve">- พฤติกรรมไฟฟ้า: Current source (high output impedance)</w:t>
      </w:r>
      <w:r>
        <w:t xml:space="preserve"> </w:t>
      </w:r>
      <w:r>
        <w:t xml:space="preserve">- การ synchronize: PLL-based</w:t>
      </w:r>
      <w:r>
        <w:t xml:space="preserve"> </w:t>
      </w:r>
      <w:r>
        <w:t xml:space="preserve">- ความสามารถ islanding: ไม่สามารถทำงานแบบแยกอิสระได้</w:t>
      </w:r>
      <w:r>
        <w:t xml:space="preserve"> </w:t>
      </w:r>
      <w:r>
        <w:t xml:space="preserve">- การตอบสนองทาง dynamic: รวดเร็ว (current loop bandwidth สูง)</w:t>
      </w:r>
      <w:r>
        <w:t xml:space="preserve"> </w:t>
      </w:r>
      <w:r>
        <w:t xml:space="preserve">- ข้อจำกัด: ในระบบที่มีสัดส่วน RES สูง (low short-circuit ratio, SCR &lt; 3) PLL จะ unstable และเกิด sub-synchronous oscillation</w:t>
      </w:r>
    </w:p>
    <w:p>
      <w:pPr>
        <w:pStyle w:val="BodyText"/>
      </w:pPr>
      <w:r>
        <w:t xml:space="preserve">GFL เหมาะกับสภาวะที่มี Synchronous Generator (SG) เป็น backbone ของระบบ ซึ่งเป็นกรณีของระบบไฟฟ้าแบบดั้งเดิม</w:t>
      </w:r>
    </w:p>
    <w:bookmarkEnd w:id="10"/>
    <w:bookmarkStart w:id="11" w:name="grid-forming-inverter-gfm"/>
    <w:p>
      <w:pPr>
        <w:pStyle w:val="Heading3"/>
      </w:pPr>
      <w:r>
        <w:t xml:space="preserve">2.1.2 Grid-Forming Inverter (GFM)</w:t>
      </w:r>
    </w:p>
    <w:p>
      <w:pPr>
        <w:pStyle w:val="FirstParagraph"/>
      </w:pPr>
      <w:r>
        <w:t xml:space="preserve">อินเวอร์เตอร์แบบ GFM ทำหน้าที่เป็น</w:t>
      </w:r>
      <w:r>
        <w:t xml:space="preserve"> </w:t>
      </w:r>
      <w:r>
        <w:rPr>
          <w:b/>
          <w:bCs/>
        </w:rPr>
        <w:t xml:space="preserve">แหล่งจ่ายแรงดันควบคุมได้ (controlled voltage source)</w:t>
      </w:r>
      <w:r>
        <w:t xml:space="preserve"> </w:t>
      </w:r>
      <w:r>
        <w:t xml:space="preserve">ที่</w:t>
      </w:r>
      <w:r>
        <w:t xml:space="preserve"> </w:t>
      </w:r>
      <w:r>
        <w:rPr>
          <w:i/>
          <w:iCs/>
        </w:rPr>
        <w:t xml:space="preserve">กำหนด (form)</w:t>
      </w:r>
      <w:r>
        <w:t xml:space="preserve"> </w:t>
      </w:r>
      <w:r>
        <w:t xml:space="preserve">ความถี่และแรงดันอ้างอิงให้กับระบบ คล้ายกับบทบาทของ Synchronous Generator ในระบบดั้งเดิม โดย GFM สามารถทำงานทั้งโหมดเชื่อมต่อกริด (grid-connected) และโหมดเกาะ (islanded mode) ได้</w:t>
      </w:r>
    </w:p>
    <w:p>
      <w:pPr>
        <w:pStyle w:val="BodyText"/>
      </w:pPr>
      <w:r>
        <w:rPr>
          <w:b/>
          <w:bCs/>
        </w:rPr>
        <w:t xml:space="preserve">คุณลักษณะหลัก:</w:t>
      </w:r>
      <w:r>
        <w:t xml:space="preserve"> </w:t>
      </w:r>
      <w:r>
        <w:t xml:space="preserve">- พฤติกรรมไฟฟ้า: Voltage source (low output impedance)</w:t>
      </w:r>
      <w:r>
        <w:t xml:space="preserve"> </w:t>
      </w:r>
      <w:r>
        <w:t xml:space="preserve">- การ synchronize: Self-synchronization (power-based, ไม่จำเป็นต้องใช้ PLL)</w:t>
      </w:r>
      <w:r>
        <w:t xml:space="preserve"> </w:t>
      </w:r>
      <w:r>
        <w:t xml:space="preserve">- ความสามารถ islanding: ทำงานได้</w:t>
      </w:r>
      <w:r>
        <w:t xml:space="preserve"> </w:t>
      </w:r>
      <w:r>
        <w:t xml:space="preserve">- การให้บริการ ancillary: black start, virtual inertia, voltage support, fault current contribution</w:t>
      </w:r>
      <w:r>
        <w:t xml:space="preserve"> </w:t>
      </w:r>
      <w:r>
        <w:t xml:space="preserve">- ข้อจำกัด: ต้องการการป้องกัน over-current ระดับสูง เนื่องจาก voltage source ตอบสนองต่อ disturbance ด้วยกระแสไหลพุ่ง</w:t>
      </w:r>
    </w:p>
    <w:bookmarkEnd w:id="11"/>
    <w:bookmarkStart w:id="12" w:name="การเปรยบเทยบ-gfl-vs-gfm"/>
    <w:p>
      <w:pPr>
        <w:pStyle w:val="Heading3"/>
      </w:pPr>
      <w:r>
        <w:t xml:space="preserve">2.1.3 การเปรียบเทียบ GFL vs GFM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ประเด็น</w:t>
            </w:r>
          </w:p>
        </w:tc>
        <w:tc>
          <w:tcPr/>
          <w:p>
            <w:pPr>
              <w:pStyle w:val="Compact"/>
            </w:pPr>
            <w:r>
              <w:t xml:space="preserve">Grid-Following (GFL)</w:t>
            </w:r>
          </w:p>
        </w:tc>
        <w:tc>
          <w:tcPr/>
          <w:p>
            <w:pPr>
              <w:pStyle w:val="Compact"/>
            </w:pPr>
            <w:r>
              <w:t xml:space="preserve">Grid-Forming (GFM)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Equivalent source</w:t>
            </w:r>
          </w:p>
        </w:tc>
        <w:tc>
          <w:tcPr/>
          <w:p>
            <w:pPr>
              <w:pStyle w:val="Compact"/>
            </w:pPr>
            <w:r>
              <w:t xml:space="preserve">Current source</w:t>
            </w:r>
          </w:p>
        </w:tc>
        <w:tc>
          <w:tcPr/>
          <w:p>
            <w:pPr>
              <w:pStyle w:val="Compact"/>
            </w:pPr>
            <w:r>
              <w:t xml:space="preserve">Voltage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ต้องการกริดอ้างอิง</w:t>
            </w:r>
          </w:p>
        </w:tc>
        <w:tc>
          <w:tcPr/>
          <w:p>
            <w:pPr>
              <w:pStyle w:val="Compact"/>
            </w:pPr>
            <w:r>
              <w:t xml:space="preserve">ต้องการ</w:t>
            </w:r>
          </w:p>
        </w:tc>
        <w:tc>
          <w:tcPr/>
          <w:p>
            <w:pPr>
              <w:pStyle w:val="Compact"/>
            </w:pPr>
            <w:r>
              <w:t xml:space="preserve">ไม่จำเป็น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Islanding capability</w:t>
            </w:r>
          </w:p>
        </w:tc>
        <w:tc>
          <w:tcPr/>
          <w:p>
            <w:pPr>
              <w:pStyle w:val="Compact"/>
            </w:pPr>
            <w:r>
              <w:t xml:space="preserve">ไม่ได้</w:t>
            </w:r>
          </w:p>
        </w:tc>
        <w:tc>
          <w:tcPr/>
          <w:p>
            <w:pPr>
              <w:pStyle w:val="Compact"/>
            </w:pPr>
            <w:r>
              <w:t xml:space="preserve">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 start</w:t>
            </w:r>
          </w:p>
        </w:tc>
        <w:tc>
          <w:tcPr/>
          <w:p>
            <w:pPr>
              <w:pStyle w:val="Compact"/>
            </w:pPr>
            <w:r>
              <w:t xml:space="preserve">ไม่ได้</w:t>
            </w:r>
          </w:p>
        </w:tc>
        <w:tc>
          <w:tcPr/>
          <w:p>
            <w:pPr>
              <w:pStyle w:val="Compact"/>
            </w:pPr>
            <w:r>
              <w:t xml:space="preserve">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inertia</w:t>
            </w:r>
          </w:p>
        </w:tc>
        <w:tc>
          <w:tcPr/>
          <w:p>
            <w:pPr>
              <w:pStyle w:val="Compact"/>
            </w:pPr>
            <w:r>
              <w:t xml:space="preserve">ไม่มี</w:t>
            </w:r>
          </w:p>
        </w:tc>
        <w:tc>
          <w:tcPr/>
          <w:p>
            <w:pPr>
              <w:pStyle w:val="Compact"/>
            </w:pPr>
            <w:r>
              <w:t xml:space="preserve">มี (ในกรณี VSG)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Fault current</w:t>
            </w:r>
          </w:p>
        </w:tc>
        <w:tc>
          <w:tcPr/>
          <w:p>
            <w:pPr>
              <w:pStyle w:val="Compact"/>
            </w:pPr>
            <w:r>
              <w:t xml:space="preserve">จำกัด (1.1–1.2 pu)</w:t>
            </w:r>
          </w:p>
        </w:tc>
        <w:tc>
          <w:tcPr/>
          <w:p>
            <w:pPr>
              <w:pStyle w:val="Compact"/>
            </w:pPr>
            <w:r>
              <w:t xml:space="preserve">จำกัด (ต้องการ current limiter)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Synchronization</w:t>
            </w:r>
          </w:p>
        </w:tc>
        <w:tc>
          <w:tcPr/>
          <w:p>
            <w:pPr>
              <w:pStyle w:val="Compact"/>
            </w:pPr>
            <w:r>
              <w:t xml:space="preserve">PLL</w:t>
            </w:r>
          </w:p>
        </w:tc>
        <w:tc>
          <w:tcPr/>
          <w:p>
            <w:pPr>
              <w:pStyle w:val="Compact"/>
            </w:pPr>
            <w:r>
              <w:t xml:space="preserve">Power-frequency droop / VSG / dVOC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ความเสถียรใน weak grid</w:t>
            </w:r>
          </w:p>
        </w:tc>
        <w:tc>
          <w:tcPr/>
          <w:p>
            <w:pPr>
              <w:pStyle w:val="Compact"/>
            </w:pPr>
            <w:r>
              <w:t xml:space="preserve">แย่</w:t>
            </w:r>
          </w:p>
        </w:tc>
        <w:tc>
          <w:tcPr/>
          <w:p>
            <w:pPr>
              <w:pStyle w:val="Compact"/>
            </w:pPr>
            <w:r>
              <w:t xml:space="preserve">ดี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การใช้งานปัจจุบัน</w:t>
            </w:r>
          </w:p>
        </w:tc>
        <w:tc>
          <w:tcPr/>
          <w:p>
            <w:pPr>
              <w:pStyle w:val="Compact"/>
            </w:pPr>
            <w:r>
              <w:t xml:space="preserve">แพร่หลาย (PV, wind)</w:t>
            </w:r>
          </w:p>
        </w:tc>
        <w:tc>
          <w:tcPr/>
          <w:p>
            <w:pPr>
              <w:pStyle w:val="Compact"/>
            </w:pPr>
            <w:r>
              <w:t xml:space="preserve">กำลังขยายตัว (BESS, microgrid)</w:t>
            </w:r>
          </w:p>
        </w:tc>
      </w:tr>
    </w:tbl>
    <w:p>
      <w:pPr>
        <w:pStyle w:val="BodyText"/>
      </w:pPr>
      <w:r>
        <w:rPr>
          <w:b/>
          <w:bCs/>
        </w:rPr>
        <w:t xml:space="preserve">ตระกูลของ GFM control:</w:t>
      </w:r>
      <w:r>
        <w:t xml:space="preserve"> </w:t>
      </w:r>
      <w:r>
        <w:t xml:space="preserve">Droop Control, Virtual Synchronous Generator (VSG / VISMA / Synchronverter), Matching Control, Dispatchable Virtual Oscillator Control (dVOC) [Tayyebi et al., 2020]</w:t>
      </w:r>
    </w:p>
    <w:p>
      <w:pPr>
        <w:pStyle w:val="BodyText"/>
      </w:pPr>
      <w:r>
        <w:t xml:space="preserve">โครงงานนี้ใช้แนวทาง</w:t>
      </w:r>
      <w:r>
        <w:t xml:space="preserve"> </w:t>
      </w:r>
      <w:r>
        <w:rPr>
          <w:b/>
          <w:bCs/>
        </w:rPr>
        <w:t xml:space="preserve">VSG</w:t>
      </w:r>
      <w:r>
        <w:t xml:space="preserve"> </w:t>
      </w:r>
      <w:r>
        <w:t xml:space="preserve">ซึ่งเป็น GFM ประเภทหนึ่งที่จำลองพลวัตของ SG อย่างตรงไปตรงมาผ่านสมการ swing equation ทำให้สามารถมอบ</w:t>
      </w:r>
      <w:r>
        <w:t xml:space="preserve"> </w:t>
      </w:r>
      <w:r>
        <w:rPr>
          <w:i/>
          <w:iCs/>
        </w:rPr>
        <w:t xml:space="preserve">virtual inertia</w:t>
      </w:r>
      <w:r>
        <w:t xml:space="preserve"> </w:t>
      </w:r>
      <w:r>
        <w:t xml:space="preserve">ให้กับระบบที่มีสัดส่วน RES สูงได้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หลกการทำงานของเครองกำเนดไฟฟาซงโครนส"/>
    <w:p>
      <w:pPr>
        <w:pStyle w:val="Heading2"/>
      </w:pPr>
      <w:r>
        <w:t xml:space="preserve">2.2 หลักการทำงานของเครื่องกำเนิดไฟฟ้าซิงโครนัส</w:t>
      </w:r>
    </w:p>
    <w:bookmarkStart w:id="14" w:name="X1794217ce54a2b2225d5eff015ab27b43656d86"/>
    <w:p>
      <w:pPr>
        <w:pStyle w:val="Heading3"/>
      </w:pPr>
      <w:r>
        <w:t xml:space="preserve">(Synchronous Generator Fundamentals: Swing Equation, Inertia, Damping, Droop)</w:t>
      </w:r>
    </w:p>
    <w:bookmarkEnd w:id="14"/>
    <w:bookmarkStart w:id="15" w:name="สมการสวง-swing-equation"/>
    <w:p>
      <w:pPr>
        <w:pStyle w:val="Heading3"/>
      </w:pPr>
      <w:r>
        <w:t xml:space="preserve">2.2.1 สมการสวิง (Swing Equation)</w:t>
      </w:r>
    </w:p>
    <w:p>
      <w:pPr>
        <w:pStyle w:val="FirstParagraph"/>
      </w:pPr>
      <w:r>
        <w:t xml:space="preserve">พฤติกรรมเชิงพลวัต (dynamic behavior) ของ Synchronous Generator (SG) อธิบายด้วยสมการการเคลื่อนที่ของโรเตอร์ (rotor equation of motion) เมื่อพิจารณา rotor inertia เป็น lumped mass สามารถเขียนได้ในรูป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ω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โดยที่</w:t>
      </w:r>
      <w:r>
        <w:t xml:space="preserve"> </w:t>
      </w:r>
      <w:r>
        <w:t xml:space="preserve">-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= moment of inertia ของโรเตอร์ + กังหัน (kg·m²)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ω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= mechanical angular speed (rad/s)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ω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= synchronous speed (rad/s)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= mechanical torque จากกังหัน (N·m)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= electromagnetic torque (N·m)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= damping coefficient (N·m·s/rad)</w:t>
      </w:r>
    </w:p>
    <w:p>
      <w:pPr>
        <w:pStyle w:val="BodyText"/>
      </w:pPr>
      <w:r>
        <w:t xml:space="preserve">เมื่อแปลงเป็นรูป</w:t>
      </w:r>
      <w:r>
        <w:t xml:space="preserve"> </w:t>
      </w:r>
      <w:r>
        <w:rPr>
          <w:b/>
          <w:bCs/>
        </w:rPr>
        <w:t xml:space="preserve">per-unit (pu)</w:t>
      </w:r>
      <w:r>
        <w:t xml:space="preserve"> </w:t>
      </w:r>
      <w:r>
        <w:t xml:space="preserve">โดยใช้ inertia constant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จะได้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H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Δ</m:t>
              </m:r>
              <m:r>
                <m:t>ω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ω</m:t>
          </m:r>
        </m:oMath>
      </m:oMathPara>
    </w:p>
    <w:p>
      <w:pPr>
        <w:pStyle w:val="FirstParagraph"/>
      </w:pPr>
      <w:r>
        <w:t xml:space="preserve">โดย</w:t>
      </w:r>
      <w:r>
        <w:t xml:space="preserve"> </w:t>
      </w:r>
      <m:oMath>
        <m:r>
          <m:rPr>
            <m:sty m:val="p"/>
          </m:rPr>
          <m:t>Δ</m:t>
        </m:r>
        <m:r>
          <m:t>ω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−</m:t>
        </m:r>
        <m:sSub>
          <m:e>
            <m:r>
              <m:t>ω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ω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คือ frequency deviation ใน pu และ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J</m:t>
              </m:r>
              <m:sSubSup>
                <m:e>
                  <m:r>
                    <m:t>ω</m:t>
                  </m:r>
                </m:e>
                <m:sub>
                  <m:r>
                    <m:t>s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s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>
        <m:r>
          <m:t>H</m:t>
        </m:r>
      </m:oMath>
      <w:r>
        <w:t xml:space="preserve"> </w:t>
      </w:r>
      <w:r>
        <w:t xml:space="preserve">คือ</w:t>
      </w:r>
      <w:r>
        <w:t xml:space="preserve"> </w:t>
      </w:r>
      <w:r>
        <w:rPr>
          <w:b/>
          <w:bCs/>
        </w:rPr>
        <w:t xml:space="preserve">inertia constant</w:t>
      </w:r>
      <w:r>
        <w:t xml:space="preserve"> </w:t>
      </w:r>
      <w:r>
        <w:t xml:space="preserve">ซึ่งมีหน่วยเป็นวินาที (s) ตีความได้ว่า</w:t>
      </w:r>
      <w:r>
        <w:t xml:space="preserve"> </w:t>
      </w:r>
      <w:r>
        <w:t xml:space="preserve">“พลังงานจลน์ของโรเตอร์ที่ความเร็ว synchronous ÷ กำลังพิกัด”</w:t>
      </w:r>
      <w:r>
        <w:t xml:space="preserve"> </w:t>
      </w:r>
      <w:r>
        <w:t xml:space="preserve">หรือ</w:t>
      </w:r>
      <w:r>
        <w:t xml:space="preserve"> </w:t>
      </w:r>
      <w:r>
        <w:t xml:space="preserve">“เวลาที่เครื่องสามารถจ่ายกำลังพิกัดได้จากพลังงานจลน์อย่างเดียว”</w:t>
      </w:r>
      <w:r>
        <w:t xml:space="preserve"> </w:t>
      </w:r>
      <w:r>
        <w:t xml:space="preserve">สำหรับ SG ทั่วไป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มีค่าประมาณ 2–10 s</w:t>
      </w:r>
    </w:p>
    <w:bookmarkEnd w:id="15"/>
    <w:bookmarkStart w:id="16" w:name="บทบาทของ-inertia-ในระบบไฟฟา"/>
    <w:p>
      <w:pPr>
        <w:pStyle w:val="Heading3"/>
      </w:pPr>
      <w:r>
        <w:t xml:space="preserve">2.2.2 บทบาทของ Inertia ในระบบไฟฟ้า</w:t>
      </w:r>
    </w:p>
    <w:p>
      <w:pPr>
        <w:pStyle w:val="FirstParagraph"/>
      </w:pPr>
      <w:r>
        <w:t xml:space="preserve">เมื่อเกิด disturbance เช่น โหลดเพิ่มขึ้นทันที (load step) หรือเครื่องกำเนิดตัวอื่นหลุดออกจากระบบ (generator trip) สมการสวินงระบุว่า อัตราการเปลี่ยนแปลงของความถี่ (Rate of Change of Frequency,</w:t>
      </w:r>
      <w:r>
        <w:t xml:space="preserve"> </w:t>
      </w:r>
      <w:r>
        <w:rPr>
          <w:b/>
          <w:bCs/>
        </w:rPr>
        <w:t xml:space="preserve">RoCoF</w:t>
      </w:r>
      <w:r>
        <w:t xml:space="preserve">) แปรผกผันกับ inertia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t</m:t>
              </m:r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  <m:r>
                <m:t>H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P</m:t>
          </m:r>
        </m:oMath>
      </m:oMathPara>
    </w:p>
    <w:p>
      <w:pPr>
        <w:pStyle w:val="FirstParagraph"/>
      </w:pPr>
      <w:r>
        <w:t xml:space="preserve">ในระบบที่มี inertia ต่ำ (เช่น microgrid ที่มี RES สัดส่วนสูง) RoCoF จะสูง ทำให้:</w:t>
      </w:r>
      <w:r>
        <w:t xml:space="preserve"> </w:t>
      </w:r>
      <w:r>
        <w:t xml:space="preserve">- Protection relay ที่ใช้ RoCoF (df/dt) trip บ่อย</w:t>
      </w:r>
      <w:r>
        <w:t xml:space="preserve"> </w:t>
      </w:r>
      <w:r>
        <w:t xml:space="preserve">- Generator อื่นใน system อาจ slip pole จาก angle deviation ที่เร็วเกินกว่า governor จะตามทัน</w:t>
      </w:r>
      <w:r>
        <w:t xml:space="preserve"> </w:t>
      </w:r>
      <w:r>
        <w:t xml:space="preserve">- Frequency nadir ลึกลงและเสี่ยงต่อ under-frequency load shedding (UFLS)</w:t>
      </w:r>
    </w:p>
    <w:p>
      <w:pPr>
        <w:pStyle w:val="BodyText"/>
      </w:pPr>
      <w:r>
        <w:t xml:space="preserve">นี่คือ</w:t>
      </w:r>
      <w:r>
        <w:t xml:space="preserve"> </w:t>
      </w:r>
      <w:r>
        <w:rPr>
          <w:i/>
          <w:iCs/>
        </w:rPr>
        <w:t xml:space="preserve">เหตุผลหลัก</w:t>
      </w:r>
      <w:r>
        <w:t xml:space="preserve"> </w:t>
      </w:r>
      <w:r>
        <w:t xml:space="preserve">ที่ผลักดันให้เกิดเทคโนโลยี</w:t>
      </w:r>
      <w:r>
        <w:t xml:space="preserve"> </w:t>
      </w:r>
      <w:r>
        <w:rPr>
          <w:b/>
          <w:bCs/>
        </w:rPr>
        <w:t xml:space="preserve">Virtual Inertia / Synthetic Inertia</w:t>
      </w:r>
      <w:r>
        <w:t xml:space="preserve"> </w:t>
      </w:r>
      <w:r>
        <w:t xml:space="preserve">ในอินเวอร์เตอร์</w:t>
      </w:r>
    </w:p>
    <w:bookmarkEnd w:id="16"/>
    <w:bookmarkStart w:id="17" w:name="damping"/>
    <w:p>
      <w:pPr>
        <w:pStyle w:val="Heading3"/>
      </w:pPr>
      <w:r>
        <w:t xml:space="preserve">2.2.3 Damping</w:t>
      </w:r>
    </w:p>
    <w:p>
      <w:pPr>
        <w:pStyle w:val="FirstParagraph"/>
      </w:pPr>
      <w:r>
        <w:t xml:space="preserve">ค่า damping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ในสมการสวินงมาจากสองแหล่งคือ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Damper winding</w:t>
      </w:r>
      <w:r>
        <w:t xml:space="preserve"> </w:t>
      </w:r>
      <w:r>
        <w:t xml:space="preserve">ของ SG (electromagnetic damping)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Frequency-sensitive load</w:t>
      </w:r>
      <w:r>
        <w:t xml:space="preserve"> </w:t>
      </w:r>
      <w:r>
        <w:t xml:space="preserve">ในระบบ (load damping)</w:t>
      </w:r>
    </w:p>
    <w:p>
      <w:pPr>
        <w:pStyle w:val="BodyText"/>
      </w:pPr>
      <w:r>
        <w:t xml:space="preserve">Damping ทำหน้าที่ลด oscillation หลัง disturbance และกำหนด settling time การวิเคราะห์เชิงเล็กน้อย (small-signal analysis) ของระบบ second-order ที่ประกอบด้วย</w:t>
      </w:r>
      <w:r>
        <w:t xml:space="preserve"> </w:t>
      </w:r>
      <m:oMath>
        <m:r>
          <m:t>2</m:t>
        </m:r>
        <m:r>
          <m:t>H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จะให้</w:t>
      </w:r>
    </w:p>
    <w:p>
      <w:pPr>
        <w:pStyle w:val="Compact"/>
        <w:numPr>
          <w:ilvl w:val="0"/>
          <w:numId w:val="1001"/>
        </w:numPr>
      </w:pPr>
      <w:r>
        <w:t xml:space="preserve">Natural frequency:</w:t>
      </w:r>
      <w: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2</m:t>
            </m:r>
            <m:r>
              <m:t>H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เมื่อ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d</m:t>
        </m:r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r>
          <m:t>d</m:t>
        </m:r>
        <m:r>
          <m:t>δ</m:t>
        </m:r>
      </m:oMath>
      <w:r>
        <w:t xml:space="preserve"> </w:t>
      </w:r>
      <w:r>
        <w:t xml:space="preserve">คือ synchronizing power coefficient</w:t>
      </w:r>
    </w:p>
    <w:p>
      <w:pPr>
        <w:pStyle w:val="Compact"/>
        <w:numPr>
          <w:ilvl w:val="0"/>
          <w:numId w:val="1001"/>
        </w:numPr>
      </w:pPr>
      <w:r>
        <w:t xml:space="preserve">Damping ratio:</w:t>
      </w:r>
      <w:r>
        <w:t xml:space="preserve"> </w:t>
      </w:r>
      <m:oMath>
        <m:r>
          <m:t>ζ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ad>
          <m:radPr>
            <m:degHide m:val="on"/>
          </m:radPr>
          <m:deg/>
          <m:e>
            <m:r>
              <m:t>2</m:t>
            </m:r>
            <m:r>
              <m:t>H</m:t>
            </m:r>
            <m:r>
              <m:rPr>
                <m:sty m:val="p"/>
              </m:rPr>
              <m:t>⋅</m:t>
            </m:r>
            <m:sSub>
              <m:e>
                <m:r>
                  <m:t>K</m:t>
                </m:r>
              </m:e>
              <m:sub>
                <m:r>
                  <m:t>s</m:t>
                </m:r>
              </m:sub>
            </m:sSub>
          </m:e>
        </m:rad>
        <m:r>
          <m:rPr>
            <m:sty m:val="p"/>
          </m:rPr>
          <m:t>)</m:t>
        </m:r>
      </m:oMath>
    </w:p>
    <w:bookmarkEnd w:id="17"/>
    <w:bookmarkStart w:id="18" w:name="droop-control"/>
    <w:p>
      <w:pPr>
        <w:pStyle w:val="Heading3"/>
      </w:pPr>
      <w:r>
        <w:t xml:space="preserve">2.2.4 Droop Control</w:t>
      </w:r>
    </w:p>
    <w:p>
      <w:pPr>
        <w:pStyle w:val="FirstParagraph"/>
      </w:pPr>
      <w:r>
        <w:t xml:space="preserve">Primary frequency control ใน SG ทำผ่าน</w:t>
      </w:r>
      <w:r>
        <w:t xml:space="preserve"> </w:t>
      </w:r>
      <w:r>
        <w:rPr>
          <w:b/>
          <w:bCs/>
        </w:rPr>
        <w:t xml:space="preserve">governor</w:t>
      </w:r>
      <w:r>
        <w:t xml:space="preserve"> </w:t>
      </w:r>
      <w:r>
        <w:t xml:space="preserve">ที่มีลักษณะ droop characteristic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P</m:t>
          </m:r>
        </m:oMath>
      </m:oMathPara>
    </w:p>
    <w:p>
      <w:pPr>
        <w:pStyle w:val="FirstParagraph"/>
      </w:pPr>
      <w:r>
        <w:t xml:space="preserve">โดย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คือ</w:t>
      </w:r>
      <w:r>
        <w:t xml:space="preserve"> </w:t>
      </w:r>
      <w:r>
        <w:rPr>
          <w:b/>
          <w:bCs/>
        </w:rPr>
        <w:t xml:space="preserve">frequency droop</w:t>
      </w:r>
      <w:r>
        <w:t xml:space="preserve"> </w:t>
      </w:r>
      <w:r>
        <w:t xml:space="preserve">มีหน่วย Hz/MW (หรือ pu/pu) ทั่วไปกำหนดที่ 4–5%</w:t>
      </w:r>
    </w:p>
    <w:p>
      <w:pPr>
        <w:pStyle w:val="BodyText"/>
      </w:pPr>
      <w:r>
        <w:t xml:space="preserve">ในทำนองเดียวกัน Q-V droop ทำหน้าที่จัดสรร reactive power ตามแรงดัน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Q</m:t>
          </m:r>
        </m:oMath>
      </m:oMathPara>
    </w:p>
    <w:p>
      <w:pPr>
        <w:pStyle w:val="FirstParagraph"/>
      </w:pPr>
      <w:r>
        <w:t xml:space="preserve">Droop เป็น</w:t>
      </w:r>
      <w:r>
        <w:t xml:space="preserve"> </w:t>
      </w:r>
      <w:r>
        <w:rPr>
          <w:i/>
          <w:iCs/>
        </w:rPr>
        <w:t xml:space="preserve">steady-state</w:t>
      </w:r>
      <w:r>
        <w:t xml:space="preserve"> </w:t>
      </w:r>
      <w:r>
        <w:t xml:space="preserve">control ในขณะที่ inertia เป็น</w:t>
      </w:r>
      <w:r>
        <w:t xml:space="preserve"> </w:t>
      </w:r>
      <w:r>
        <w:rPr>
          <w:i/>
          <w:iCs/>
        </w:rPr>
        <w:t xml:space="preserve">transient</w:t>
      </w:r>
      <w:r>
        <w:t xml:space="preserve"> </w:t>
      </w:r>
      <w:r>
        <w:t xml:space="preserve">response ทั้งสองทำงานร่วมกันเพื่อรักษาเสถียรภาพของระบบ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โครงสรางและอลกอรธมควบคม-vsg"/>
    <w:p>
      <w:pPr>
        <w:pStyle w:val="Heading2"/>
      </w:pPr>
      <w:r>
        <w:t xml:space="preserve">2.3 โครงสร้างและอัลกอริธึมควบคุม VSG</w:t>
      </w:r>
    </w:p>
    <w:bookmarkStart w:id="20" w:name="vsg-control-architecture-algorithm"/>
    <w:p>
      <w:pPr>
        <w:pStyle w:val="Heading3"/>
      </w:pPr>
      <w:r>
        <w:t xml:space="preserve">(VSG Control Architecture &amp; Algorithm)</w:t>
      </w:r>
    </w:p>
    <w:p>
      <w:pPr>
        <w:pStyle w:val="FirstParagraph"/>
      </w:pPr>
      <w:r>
        <w:t xml:space="preserve">แนวคิดของ Virtual Synchronous Generator คือการ</w:t>
      </w:r>
      <w:r>
        <w:t xml:space="preserve"> </w:t>
      </w:r>
      <w:r>
        <w:rPr>
          <w:i/>
          <w:iCs/>
        </w:rPr>
        <w:t xml:space="preserve">จำลองพฤติกรรมของ SG</w:t>
      </w:r>
      <w:r>
        <w:t xml:space="preserve"> </w:t>
      </w:r>
      <w:r>
        <w:t xml:space="preserve">ด้วยซอฟต์แวร์ฝังภายในการควบคุมของอินเวอร์เตอร์ ผลลัพธ์คือ inverter ที่มีพฤติกรรมเสมือน SG ทั้งในแง่ inertia, damping, และ droop response แม้ว่าตัว hardware จะไม่มีมวลเฉื่อยทางกลก็ตาม [Beck &amp; Hesse, 2007; Zhong &amp; Weiss, 2011]</w:t>
      </w:r>
    </w:p>
    <w:bookmarkEnd w:id="20"/>
    <w:bookmarkStart w:id="21" w:name="สถาปตยกรรมรวม-overall-architecture"/>
    <w:p>
      <w:pPr>
        <w:pStyle w:val="Heading3"/>
      </w:pPr>
      <w:r>
        <w:t xml:space="preserve">2.3.1 สถาปัตยกรรมรวม (Overall Architecture)</w:t>
      </w:r>
    </w:p>
    <w:p>
      <w:pPr>
        <w:pStyle w:val="FirstParagraph"/>
      </w:pPr>
      <w:r>
        <w:t xml:space="preserve">โดยทั่วไป VSG ประกอบด้วย 4 ระดับชั้นที่ทำงานจาก outer ไปสู่ inner loop</w:t>
      </w:r>
    </w:p>
    <w:p>
      <w:pPr>
        <w:pStyle w:val="SourceCode"/>
      </w:pPr>
      <w:r>
        <w:rPr>
          <w:rStyle w:val="VerbatimChar"/>
        </w:rPr>
        <w:t xml:space="preserve">      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│  1. Power Calculation                │</w:t>
      </w:r>
      <w:r>
        <w:br/>
      </w:r>
      <w:r>
        <w:rPr>
          <w:rStyle w:val="VerbatimChar"/>
        </w:rPr>
        <w:t xml:space="preserve">                │     (P, Q จาก v_abc, i_abc)          │</w:t>
      </w:r>
      <w:r>
        <w:br/>
      </w:r>
      <w:r>
        <w:rPr>
          <w:rStyle w:val="VerbatimChar"/>
        </w:rPr>
        <w:t xml:space="preserve">                └──────────────┬───────────────────────┘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│  2. VSG Core (Virtual Swing Eq.)     │</w:t>
      </w:r>
      <w:r>
        <w:br/>
      </w:r>
      <w:r>
        <w:rPr>
          <w:rStyle w:val="VerbatimChar"/>
        </w:rPr>
        <w:t xml:space="preserve">                │     - P–ω loop (inertia + damping)   │</w:t>
      </w:r>
      <w:r>
        <w:br/>
      </w:r>
      <w:r>
        <w:rPr>
          <w:rStyle w:val="VerbatimChar"/>
        </w:rPr>
        <w:t xml:space="preserve">                │     - Q–V loop (droop / excitation)  │</w:t>
      </w:r>
      <w:r>
        <w:br/>
      </w:r>
      <w:r>
        <w:rPr>
          <w:rStyle w:val="VerbatimChar"/>
        </w:rPr>
        <w:t xml:space="preserve">                └──────────────┬───────────────────────┘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│  3. Voltage / Current Inner Loop     │</w:t>
      </w:r>
      <w:r>
        <w:br/>
      </w:r>
      <w:r>
        <w:rPr>
          <w:rStyle w:val="VerbatimChar"/>
        </w:rPr>
        <w:t xml:space="preserve">                │     (dq-frame cascaded PI control)   │</w:t>
      </w:r>
      <w:r>
        <w:br/>
      </w:r>
      <w:r>
        <w:rPr>
          <w:rStyle w:val="VerbatimChar"/>
        </w:rPr>
        <w:t xml:space="preserve">                └──────────────┬───────────────────────┘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│  4. PWM / SVPWM Modulator            │</w:t>
      </w:r>
      <w:r>
        <w:br/>
      </w:r>
      <w:r>
        <w:rPr>
          <w:rStyle w:val="VerbatimChar"/>
        </w:rPr>
        <w:t xml:space="preserve">                └──────────────────────────────────────┘</w:t>
      </w:r>
    </w:p>
    <w:bookmarkEnd w:id="21"/>
    <w:bookmarkStart w:id="22" w:name="X53905fd76b9e5e5bdda176254f2e683e0a4dc62"/>
    <w:p>
      <w:pPr>
        <w:pStyle w:val="Heading3"/>
      </w:pPr>
      <w:r>
        <w:t xml:space="preserve">2.3.2 P–ω Loop: สมการกำลังจริง-ความถี่ (Virtual Swing Equation)</w:t>
      </w:r>
    </w:p>
    <w:p>
      <w:pPr>
        <w:pStyle w:val="FirstParagraph"/>
      </w:pPr>
      <w:r>
        <w:t xml:space="preserve">หัวใจของ VSG คือการ implement swing equation เป็นสมการเชิงอนุพันธ์ที่อินเวอร์เตอร์ solve real-time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H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Δ</m:t>
              </m:r>
              <m:r>
                <m:t>ω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m</m:t>
              </m:r>
              <m:r>
                <m:t>e</m:t>
              </m:r>
              <m:r>
                <m:t>a</m:t>
              </m:r>
              <m: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ω</m:t>
          </m:r>
        </m:oMath>
      </m:oMathPara>
    </w:p>
    <w:p>
      <w:pPr>
        <w:pStyle w:val="FirstParagraph"/>
      </w:pPr>
      <w:r>
        <w:t xml:space="preserve">หรือในรูปที่รวม droop term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H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Δ</m:t>
              </m:r>
              <m:r>
                <m:t>ω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p</m:t>
                  </m:r>
                </m:sub>
              </m:sSub>
            </m:den>
          </m:f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−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m</m:t>
              </m:r>
              <m:r>
                <m:t>e</m:t>
              </m:r>
              <m:r>
                <m:t>a</m:t>
              </m:r>
              <m: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โดยที่</w:t>
      </w:r>
      <w:r>
        <w:t xml:space="preserve"> </w:t>
      </w:r>
      <w:r>
        <w:t xml:space="preserve">-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= virtual inertia constant (s)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= virtual damping coefficient (pu/pu)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= active power droop gain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= grid frequency reference (จาก PLL หรือ low-bandwidth tracking)</w:t>
      </w:r>
    </w:p>
    <w:p>
      <w:pPr>
        <w:pStyle w:val="BodyText"/>
      </w:pPr>
      <w:r>
        <w:t xml:space="preserve">เมื่อ integrate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จะได้มุม voltage reference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v</m:t>
              </m:r>
              <m:r>
                <m:t>s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ω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มุมนี้ใช้สร้าง voltage reference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E</m:t>
        </m:r>
        <m:r>
          <m:rPr>
            <m:sty m:val="p"/>
          </m:rPr>
          <m:t>sin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v</m:t>
            </m:r>
            <m:r>
              <m:t>s</m:t>
            </m:r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สำหรับ inner loop</w:t>
      </w:r>
    </w:p>
    <w:p>
      <w:pPr>
        <w:pStyle w:val="BlockText"/>
      </w:pPr>
      <w:r>
        <w:rPr>
          <w:b/>
          <w:bCs/>
        </w:rPr>
        <w:t xml:space="preserve">หมายเหตุทางการออกแบบ:</w:t>
      </w:r>
      <w:r>
        <w:t xml:space="preserve"> </w:t>
      </w:r>
      <w:r>
        <w:t xml:space="preserve">การเลือกค่า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และ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ต้องสมดุล —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สูงให้ frequency stability ดีแต่ทำให้ response ช้า;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สูงลด oscillation แต่เพิ่ม steady-state error ในการแบ่งโหลด งานวิจัย adaptive VSG จำนวนมากเสนอให้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ปรับเปลี่ยนตามสภาวะ disturbance [Alipoor et al., 2015]</w:t>
      </w:r>
    </w:p>
    <w:bookmarkEnd w:id="22"/>
    <w:bookmarkStart w:id="23" w:name="qv-loop-สมการกำลงรแอกทฟ-แรงดน"/>
    <w:p>
      <w:pPr>
        <w:pStyle w:val="Heading3"/>
      </w:pPr>
      <w:r>
        <w:t xml:space="preserve">2.3.3 Q–V Loop: สมการกำลังรีแอกทีฟ-แรงดัน</w:t>
      </w:r>
    </w:p>
    <w:p>
      <w:pPr>
        <w:pStyle w:val="FirstParagraph"/>
      </w:pPr>
      <w:r>
        <w:t xml:space="preserve">สำหรับการควบคุม reactive power และ voltage VSG ส่วนใหญ่ใช้ droop หรือ first-order dynamic ที่จำลอง excitation system</w:t>
      </w:r>
    </w:p>
    <w:p>
      <w:pPr>
        <w:pStyle w:val="BodyText"/>
      </w:pPr>
      <w:r>
        <w:rPr>
          <w:b/>
          <w:bCs/>
        </w:rPr>
        <w:t xml:space="preserve">Static Q–V Droop: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m</m:t>
              </m:r>
              <m:r>
                <m:t>e</m:t>
              </m:r>
              <m:r>
                <m:t>a</m:t>
              </m:r>
              <m:r>
                <m:t>s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Dynamic Q–V (excitation emulation):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f>
            <m:fPr>
              <m:type m:val="bar"/>
            </m:fPr>
            <m:num>
              <m:r>
                <m:t>d</m:t>
              </m:r>
              <m:r>
                <m:t>E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m</m:t>
              </m:r>
              <m:r>
                <m:t>e</m:t>
              </m:r>
              <m:r>
                <m:t>a</m:t>
              </m:r>
              <m: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โดย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คือ virtual excitation inertia,</w:t>
      </w:r>
      <w:r>
        <w:t xml:space="preserve"> </w:t>
      </w:r>
      <m:oMath>
        <m:sSub>
          <m:e>
            <m:r>
              <m:t>D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คือ virtual voltage damping ทำให้แรงดันออกของอินเวอร์เตอร์มีพลวัตคล้ายกับ field winding ของ SG</w:t>
      </w:r>
    </w:p>
    <w:bookmarkEnd w:id="23"/>
    <w:bookmarkStart w:id="24" w:name="inner-voltagecurrent-loop"/>
    <w:p>
      <w:pPr>
        <w:pStyle w:val="Heading3"/>
      </w:pPr>
      <w:r>
        <w:t xml:space="preserve">2.3.4 Inner Voltage/Current Loop</w:t>
      </w:r>
    </w:p>
    <w:p>
      <w:pPr>
        <w:pStyle w:val="FirstParagraph"/>
      </w:pPr>
      <w:r>
        <w:t xml:space="preserve">ภายหลังได้</w:t>
      </w:r>
      <w:r>
        <w:t xml:space="preserve"> </w:t>
      </w:r>
      <m:oMath>
        <m:sSub>
          <m:e>
            <m:r>
              <m:t>θ</m:t>
            </m:r>
          </m:e>
          <m:sub>
            <m:r>
              <m:t>v</m:t>
            </m:r>
            <m:r>
              <m:t>s</m:t>
            </m:r>
            <m:r>
              <m:t>g</m:t>
            </m:r>
          </m:sub>
        </m:sSub>
      </m:oMath>
      <w:r>
        <w:t xml:space="preserve"> </w:t>
      </w:r>
      <w:r>
        <w:t xml:space="preserve">และ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จาก outer VSG loop ระบบจะส่งผ่าน Park transform ไปเป็น</w:t>
      </w:r>
      <w:r>
        <w:t xml:space="preserve"> </w:t>
      </w:r>
      <m:oMath>
        <m:sSubSup>
          <m:e>
            <m:r>
              <m:t>v</m:t>
            </m:r>
          </m:e>
          <m:sub>
            <m:r>
              <m:t>d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sSubSup>
          <m:e>
            <m:r>
              <m:t>v</m:t>
            </m:r>
          </m:e>
          <m:sub>
            <m:r>
              <m:t>q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แล้วป้อนให้กับ cascaded PI controller ในกรอบ dq</w:t>
      </w:r>
    </w:p>
    <w:p>
      <w:pPr>
        <w:pStyle w:val="Compact"/>
        <w:numPr>
          <w:ilvl w:val="0"/>
          <w:numId w:val="1002"/>
        </w:numPr>
      </w:pPr>
      <w:r>
        <w:t xml:space="preserve">Voltage loop (outer):</w:t>
      </w:r>
      <w:r>
        <w:t xml:space="preserve"> </w:t>
      </w:r>
      <m:oMath>
        <m:sSubSup>
          <m:e>
            <m:r>
              <m:t>v</m:t>
            </m:r>
          </m:e>
          <m:sub>
            <m:r>
              <m:t>d</m:t>
            </m:r>
            <m:r>
              <m:t>q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→</m:t>
        </m:r>
        <m:sSubSup>
          <m:e>
            <m:r>
              <m:t>i</m:t>
            </m:r>
          </m:e>
          <m:sub>
            <m:r>
              <m:t>d</m:t>
            </m:r>
            <m:r>
              <m:t>q</m:t>
            </m:r>
          </m:sub>
          <m:sup>
            <m:r>
              <m:rPr>
                <m:sty m:val="p"/>
              </m:rPr>
              <m:t>*</m:t>
            </m:r>
          </m:sup>
        </m:sSubSup>
      </m:oMath>
    </w:p>
    <w:p>
      <w:pPr>
        <w:pStyle w:val="Compact"/>
        <w:numPr>
          <w:ilvl w:val="0"/>
          <w:numId w:val="1002"/>
        </w:numPr>
      </w:pPr>
      <w:r>
        <w:t xml:space="preserve">Current loop (inner):</w:t>
      </w:r>
      <w:r>
        <w:t xml:space="preserve"> </w:t>
      </w:r>
      <m:oMath>
        <m:sSubSup>
          <m:e>
            <m:r>
              <m:t>i</m:t>
            </m:r>
          </m:e>
          <m:sub>
            <m:r>
              <m:t>d</m:t>
            </m:r>
            <m:r>
              <m:t>q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→</m:t>
        </m:r>
        <m:sSubSup>
          <m:e>
            <m:r>
              <m:t>v</m:t>
            </m:r>
          </m:e>
          <m:sub>
            <m:r>
              <m:t>c</m:t>
            </m:r>
            <m:r>
              <m:t>o</m:t>
            </m:r>
            <m:r>
              <m:t>n</m:t>
            </m:r>
            <m:r>
              <m:t>v</m:t>
            </m:r>
            <m:r>
              <m:t>e</m:t>
            </m:r>
            <m:r>
              <m:t>r</m:t>
            </m:r>
            <m:r>
              <m:t>t</m:t>
            </m:r>
            <m:r>
              <m:t>e</m:t>
            </m:r>
            <m:r>
              <m:t>r</m:t>
            </m:r>
          </m:sub>
          <m:sup>
            <m:r>
              <m:rPr>
                <m:sty m:val="p"/>
              </m:rPr>
              <m:t>*</m:t>
            </m:r>
          </m:sup>
        </m:sSubSup>
      </m:oMath>
    </w:p>
    <w:p>
      <w:pPr>
        <w:pStyle w:val="FirstParagraph"/>
      </w:pPr>
      <w:r>
        <w:t xml:space="preserve">จากนั้นแปลงกลับด้วย inverse Park transform แล้วป้อนเข้า SVPWM/SPWM modulator ที่ความถี่สวิตชิงสูง (เช่น 5–20 kHz)</w:t>
      </w:r>
    </w:p>
    <w:bookmarkEnd w:id="24"/>
    <w:bookmarkStart w:id="25" w:name="การจำลองแรงเฉอยและการหนวงเสมอน"/>
    <w:p>
      <w:pPr>
        <w:pStyle w:val="Heading3"/>
      </w:pPr>
      <w:r>
        <w:t xml:space="preserve">2.3.5 การจำลองแรงเฉื่อยและการหน่วงเสมือน</w:t>
      </w:r>
    </w:p>
    <w:p>
      <w:pPr>
        <w:pStyle w:val="FirstParagraph"/>
      </w:pPr>
      <w:r>
        <w:rPr>
          <w:b/>
          <w:bCs/>
        </w:rPr>
        <w:t xml:space="preserve">Virtual Inertia:</w:t>
      </w:r>
      <w:r>
        <w:t xml:space="preserve"> </w:t>
      </w:r>
      <w:r>
        <w:t xml:space="preserve">มาจาก term</w:t>
      </w:r>
      <w:r>
        <w:t xml:space="preserve"> </w:t>
      </w:r>
      <m:oMath>
        <m:r>
          <m:t>2</m:t>
        </m:r>
        <m:r>
          <m:t>H</m:t>
        </m:r>
        <m:r>
          <m:t> </m:t>
        </m:r>
        <m:r>
          <m:t>d</m:t>
        </m:r>
        <m:r>
          <m:t>ω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— อินเวอร์เตอร์ดึงพลังงานจาก DC-link หรือ energy storage เพื่อจ่าย transient power ตามอัตราที่ swing equation กำหนด ดังนั้น VSG จึง</w:t>
      </w:r>
      <w:r>
        <w:t xml:space="preserve"> </w:t>
      </w:r>
      <w:r>
        <w:rPr>
          <w:i/>
          <w:iCs/>
        </w:rPr>
        <w:t xml:space="preserve">ต้องการแหล่งพลังงานสำรอง</w:t>
      </w:r>
      <w:r>
        <w:t xml:space="preserve"> </w:t>
      </w:r>
      <w:r>
        <w:t xml:space="preserve">(BESS, supercapacitor, หรือ over-rated DC bus capacitance) เพื่อรองรับ inertial transient</w:t>
      </w:r>
    </w:p>
    <w:p>
      <w:pPr>
        <w:pStyle w:val="BodyText"/>
      </w:pPr>
      <w:r>
        <w:rPr>
          <w:b/>
          <w:bCs/>
        </w:rPr>
        <w:t xml:space="preserve">Virtual Damping:</w:t>
      </w:r>
      <w:r>
        <w:t xml:space="preserve"> </w:t>
      </w:r>
      <w:r>
        <w:t xml:space="preserve">มาจาก term</w:t>
      </w:r>
      <w:r>
        <w:t xml:space="preserve"> </w:t>
      </w:r>
      <m:oMath>
        <m:r>
          <m:t>D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ω</m:t>
        </m:r>
      </m:oMath>
      <w:r>
        <w:t xml:space="preserve"> </w:t>
      </w:r>
      <w:r>
        <w:t xml:space="preserve">— สังเคราะห์ขึ้นจากการคำนวณ ไม่ต้องการ energy reservoir เพิ่มเติม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50" w:name="งานวจยทเกยวของ"/>
    <w:p>
      <w:pPr>
        <w:pStyle w:val="Heading2"/>
      </w:pPr>
      <w:r>
        <w:t xml:space="preserve">2.4 งานวิจัยที่เกี่ยวข้อง</w:t>
      </w:r>
    </w:p>
    <w:bookmarkStart w:id="27" w:name="related-works"/>
    <w:p>
      <w:pPr>
        <w:pStyle w:val="Heading3"/>
      </w:pPr>
      <w:r>
        <w:t xml:space="preserve">(Related Works)</w:t>
      </w:r>
    </w:p>
    <w:p>
      <w:pPr>
        <w:pStyle w:val="FirstParagraph"/>
      </w:pPr>
      <w:r>
        <w:t xml:space="preserve">หัวข้อนี้ทบทวนงานวิจัย 12 ชิ้นที่เกี่ยวข้องกับการออกแบบและพัฒนา Virtual Synchronous Generator (VSG) โดยรวบรวมจากฐานข้อมูล IEEE Xplore และจัดเก็บใน NotebookLM ของผู้เขียน</w:t>
      </w:r>
    </w:p>
    <w:p>
      <w:pPr>
        <w:pStyle w:val="BlockText"/>
      </w:pPr>
      <w:r>
        <w:rPr>
          <w:b/>
          <w:bCs/>
        </w:rPr>
        <w:t xml:space="preserve">หมายเหตุเกี่ยวกับข้อจำกัด (Limitations):</w:t>
      </w:r>
      <w:r>
        <w:t xml:space="preserve"> </w:t>
      </w:r>
      <w:r>
        <w:t xml:space="preserve">เอกสารต้นฉบับส่วนใหญ่ไม่ระบุข้อจำกัดของตนเองอย่างชัดเจน ผู้เขียนวิทยานิพนธ์จึง</w:t>
      </w:r>
      <w:r>
        <w:t xml:space="preserve"> </w:t>
      </w:r>
      <w:r>
        <w:rPr>
          <w:b/>
          <w:bCs/>
        </w:rPr>
        <w:t xml:space="preserve">อนุมาน (inferred)</w:t>
      </w:r>
      <w:r>
        <w:t xml:space="preserve"> </w:t>
      </w:r>
      <w:r>
        <w:t xml:space="preserve">ข้อจำกัดจาก scope ของการทดสอบ, hardware platform, และวิธีการ validation ที่ระบุไว้ในแต่ละ paper เพื่อใช้ในการทำ Gap Analysis โดยจะระบุชัดเจนว่าข้อใดเป็น</w:t>
      </w:r>
      <w:r>
        <w:t xml:space="preserve"> </w:t>
      </w:r>
      <w:r>
        <w:t xml:space="preserve">“ไม่ระบุในต้นฉบับ”</w:t>
      </w:r>
      <w:r>
        <w:t xml:space="preserve"> </w:t>
      </w:r>
      <w:r>
        <w:t xml:space="preserve">และข้อใดเป็น</w:t>
      </w:r>
      <w:r>
        <w:t xml:space="preserve"> </w:t>
      </w:r>
      <w:r>
        <w:t xml:space="preserve">“อนุมาน”</w:t>
      </w:r>
    </w:p>
    <w:bookmarkEnd w:id="27"/>
    <w:bookmarkStart w:id="28" w:name="ตารางสรปงานวจย-comparative-summary-table"/>
    <w:p>
      <w:pPr>
        <w:pStyle w:val="Heading3"/>
      </w:pPr>
      <w:r>
        <w:t xml:space="preserve">2.4.1 ตารางสรุปงานวิจัย (Comparative Summary Table)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ผู้เขียน / ปี</w:t>
            </w:r>
          </w:p>
        </w:tc>
        <w:tc>
          <w:tcPr/>
          <w:p>
            <w:pPr>
              <w:pStyle w:val="Compact"/>
            </w:pPr>
            <w:r>
              <w:t xml:space="preserve">วิธีการ</w:t>
            </w:r>
          </w:p>
        </w:tc>
        <w:tc>
          <w:tcPr/>
          <w:p>
            <w:pPr>
              <w:pStyle w:val="Compact"/>
            </w:pPr>
            <w:r>
              <w:t xml:space="preserve">กรณีทดสอบ / Hardware</w:t>
            </w:r>
          </w:p>
        </w:tc>
        <w:tc>
          <w:tcPr/>
          <w:p>
            <w:pPr>
              <w:pStyle w:val="Compact"/>
            </w:pPr>
            <w:r>
              <w:t xml:space="preserve">ผลลัพธ์หลัก</w:t>
            </w:r>
          </w:p>
        </w:tc>
        <w:tc>
          <w:tcPr/>
          <w:p>
            <w:pPr>
              <w:pStyle w:val="Compact"/>
            </w:pPr>
            <w:r>
              <w:t xml:space="preserve">ข้อจำกัด (อนุมาน)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Chang &amp; Nguyen, 2023</w:t>
            </w:r>
          </w:p>
        </w:tc>
        <w:tc>
          <w:tcPr/>
          <w:p>
            <w:pPr>
              <w:pStyle w:val="Compact"/>
            </w:pPr>
            <w:r>
              <w:t xml:space="preserve">Adaptive Inertia VSG + feedforward line-impedance power sharing</w:t>
            </w:r>
          </w:p>
        </w:tc>
        <w:tc>
          <w:tcPr/>
          <w:p>
            <w:pPr>
              <w:pStyle w:val="Compact"/>
            </w:pPr>
            <w:r>
              <w:t xml:space="preserve">PSIM + 3-inverter parallel hardware, TMS320F28335 DSP</w:t>
            </w:r>
          </w:p>
        </w:tc>
        <w:tc>
          <w:tcPr/>
          <w:p>
            <w:pPr>
              <w:pStyle w:val="Compact"/>
            </w:pPr>
            <w:r>
              <w:t xml:space="preserve">ปรับ H ได้ adaptive, แชร์โหลด multi-inverter ได้แม่นยำ</w:t>
            </w:r>
          </w:p>
        </w:tc>
        <w:tc>
          <w:tcPr/>
          <w:p>
            <w:pPr>
              <w:pStyle w:val="Compact"/>
            </w:pPr>
            <w:r>
              <w:t xml:space="preserve">DSP ราคาสูง; ทดสอบในไมโครกริดเล็ก; ไม่ครอบคลุม FRT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Cherifi et al., 2022</w:t>
            </w:r>
          </w:p>
        </w:tc>
        <w:tc>
          <w:tcPr/>
          <w:p>
            <w:pPr>
              <w:pStyle w:val="Compact"/>
            </w:pPr>
            <w:r>
              <w:t xml:space="preserve">VSG control สำหรับ stand-alone inverter</w:t>
            </w:r>
          </w:p>
        </w:tc>
        <w:tc>
          <w:tcPr/>
          <w:p>
            <w:pPr>
              <w:pStyle w:val="Compact"/>
            </w:pPr>
            <w:r>
              <w:t xml:space="preserve">PSIM sim + PIL บน TI F28335 DSP</w:t>
            </w:r>
          </w:p>
        </w:tc>
        <w:tc>
          <w:tcPr/>
          <w:p>
            <w:pPr>
              <w:pStyle w:val="Compact"/>
            </w:pPr>
            <w:r>
              <w:t xml:space="preserve">PIL ผลตรงกับ sim</w:t>
            </w:r>
          </w:p>
        </w:tc>
        <w:tc>
          <w:tcPr/>
          <w:p>
            <w:pPr>
              <w:pStyle w:val="Compact"/>
            </w:pPr>
            <w:r>
              <w:t xml:space="preserve">PIL เท่านั้น ไม่ใช่ full hardware; ไม่ทดสอบ grid-connected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Choi, Heo, Park, 2025</w:t>
            </w:r>
          </w:p>
        </w:tc>
        <w:tc>
          <w:tcPr/>
          <w:p>
            <w:pPr>
              <w:pStyle w:val="Compact"/>
            </w:pPr>
            <w:r>
              <w:t xml:space="preserve">Disturbance Observer (stationary-frame filter) แก้ ADC DC bias</w:t>
            </w:r>
          </w:p>
        </w:tc>
        <w:tc>
          <w:tcPr/>
          <w:p>
            <w:pPr>
              <w:pStyle w:val="Compact"/>
            </w:pPr>
            <w:r>
              <w:t xml:space="preserve">HIL + grid-connected VSG hardware bench</w:t>
            </w:r>
          </w:p>
        </w:tc>
        <w:tc>
          <w:tcPr/>
          <w:p>
            <w:pPr>
              <w:pStyle w:val="Compact"/>
            </w:pPr>
            <w:r>
              <w:t xml:space="preserve">ลด synchronous oscillation จาก ADC noise</w:t>
            </w:r>
          </w:p>
        </w:tc>
        <w:tc>
          <w:tcPr/>
          <w:p>
            <w:pPr>
              <w:pStyle w:val="Compact"/>
            </w:pPr>
            <w:r>
              <w:t xml:space="preserve">scope แคบ (เฉพาะ DC bias); ไม่ครอบคลุม large-signal disturbance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Hirase et al., 2022</w:t>
            </w:r>
          </w:p>
        </w:tc>
        <w:tc>
          <w:tcPr/>
          <w:p>
            <w:pPr>
              <w:pStyle w:val="Compact"/>
            </w:pPr>
            <w:r>
              <w:t xml:space="preserve">Field demonstration: GFM VSG + diesel SG microgrid</w:t>
            </w:r>
          </w:p>
        </w:tc>
        <w:tc>
          <w:tcPr/>
          <w:p>
            <w:pPr>
              <w:pStyle w:val="Compact"/>
            </w:pPr>
            <w:r>
              <w:t xml:space="preserve">125 kVA diesel + 5×20 kVA BES inverters, field site</w:t>
            </w:r>
          </w:p>
        </w:tc>
        <w:tc>
          <w:tcPr/>
          <w:p>
            <w:pPr>
              <w:pStyle w:val="Compact"/>
            </w:pPr>
            <w:r>
              <w:t xml:space="preserve">ยืนยัน technology readiness; สอดคล้องกับ IEEE Std 2988</w:t>
            </w:r>
          </w:p>
        </w:tc>
        <w:tc>
          <w:tcPr/>
          <w:p>
            <w:pPr>
              <w:pStyle w:val="Compact"/>
            </w:pPr>
            <w:r>
              <w:t xml:space="preserve">hardware ระดับอุตสาหกรรม ราคาสูง; topology เฉพาะ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Rathnayake, Razzaghi, Bahrani, 2022</w:t>
            </w:r>
          </w:p>
        </w:tc>
        <w:tc>
          <w:tcPr/>
          <w:p>
            <w:pPr>
              <w:pStyle w:val="Compact"/>
            </w:pPr>
            <w:r>
              <w:t xml:space="preserve">Generalized VSG (GVSG) — closed-form gain design, seamless mode transition</w:t>
            </w:r>
          </w:p>
        </w:tc>
        <w:tc>
          <w:tcPr/>
          <w:p>
            <w:pPr>
              <w:pStyle w:val="Compact"/>
            </w:pPr>
            <w:r>
              <w:t xml:space="preserve">Frequency-response + step-response experiment</w:t>
            </w:r>
          </w:p>
        </w:tc>
        <w:tc>
          <w:tcPr/>
          <w:p>
            <w:pPr>
              <w:pStyle w:val="Compact"/>
            </w:pPr>
            <w:r>
              <w:t xml:space="preserve">overshoot ↓, settling time ↓ vs conventional VSG</w:t>
            </w:r>
          </w:p>
        </w:tc>
        <w:tc>
          <w:tcPr/>
          <w:p>
            <w:pPr>
              <w:pStyle w:val="Compact"/>
            </w:pPr>
            <w:r>
              <w:t xml:space="preserve">ใช้ linearization; ไม่แสดง robustness ต่อ parameter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Chen et al., 2018</w:t>
            </w:r>
          </w:p>
        </w:tc>
        <w:tc>
          <w:tcPr/>
          <w:p>
            <w:pPr>
              <w:pStyle w:val="Compact"/>
            </w:pPr>
            <w:r>
              <w:t xml:space="preserve">DAE-based VSG model + HIL validation</w:t>
            </w:r>
          </w:p>
        </w:tc>
        <w:tc>
          <w:tcPr/>
          <w:p>
            <w:pPr>
              <w:pStyle w:val="Compact"/>
            </w:pPr>
            <w:r>
              <w:t xml:space="preserve">HIL measurement vs DAE model</w:t>
            </w:r>
          </w:p>
        </w:tc>
        <w:tc>
          <w:tcPr/>
          <w:p>
            <w:pPr>
              <w:pStyle w:val="Compact"/>
            </w:pPr>
            <w:r>
              <w:t xml:space="preserve">ยืนยันความถูกต้องของ simple swing eq.</w:t>
            </w:r>
          </w:p>
        </w:tc>
        <w:tc>
          <w:tcPr/>
          <w:p>
            <w:pPr>
              <w:pStyle w:val="Compact"/>
            </w:pPr>
            <w:r>
              <w:t xml:space="preserve">simple model; ไม่รวม full inner current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Zhang et al., 2018</w:t>
            </w:r>
          </w:p>
        </w:tc>
        <w:tc>
          <w:tcPr/>
          <w:p>
            <w:pPr>
              <w:pStyle w:val="Compact"/>
            </w:pPr>
            <w:r>
              <w:t xml:space="preserve">PV-VSG control + RT-LAB HIL</w:t>
            </w:r>
          </w:p>
        </w:tc>
        <w:tc>
          <w:tcPr/>
          <w:p>
            <w:pPr>
              <w:pStyle w:val="Compact"/>
            </w:pPr>
            <w:r>
              <w:t xml:space="preserve">RT-LAB HIL platform, PV grid-connected inverter</w:t>
            </w:r>
          </w:p>
        </w:tc>
        <w:tc>
          <w:tcPr/>
          <w:p>
            <w:pPr>
              <w:pStyle w:val="Compact"/>
            </w:pPr>
            <w:r>
              <w:t xml:space="preserve">PV-VSG จำลอง inertia ได้ + เพิ่ม system stability</w:t>
            </w:r>
          </w:p>
        </w:tc>
        <w:tc>
          <w:tcPr/>
          <w:p>
            <w:pPr>
              <w:pStyle w:val="Compact"/>
            </w:pPr>
            <w:r>
              <w:t xml:space="preserve">HIL only; ไม่มี physical PV hardware; ไม่ทดสอบ MPPT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Huang et al., 2025</w:t>
            </w:r>
          </w:p>
        </w:tc>
        <w:tc>
          <w:tcPr/>
          <w:p>
            <w:pPr>
              <w:pStyle w:val="Compact"/>
            </w:pPr>
            <w:r>
              <w:t xml:space="preserve">Model-Free Predictive Control (ARX/RLS) inner loop + simple VSG outer</w:t>
            </w:r>
          </w:p>
        </w:tc>
        <w:tc>
          <w:tcPr/>
          <w:p>
            <w:pPr>
              <w:pStyle w:val="Compact"/>
            </w:pPr>
            <w:r>
              <w:t xml:space="preserve">Software sim + hardware experiment</w:t>
            </w:r>
          </w:p>
        </w:tc>
        <w:tc>
          <w:tcPr/>
          <w:p>
            <w:pPr>
              <w:pStyle w:val="Compact"/>
            </w:pPr>
            <w:r>
              <w:t xml:space="preserve">robust ต่อ parameter uncertainty; pulse-duty dynamic ดีขึ้น</w:t>
            </w:r>
          </w:p>
        </w:tc>
        <w:tc>
          <w:tcPr/>
          <w:p>
            <w:pPr>
              <w:pStyle w:val="Compact"/>
            </w:pPr>
            <w:r>
              <w:t xml:space="preserve">algorithm ซับซ้อน, computational cost สูง; ไม่เหมาะ low-cost MCU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Karapanos, de Haan, Zwetsloot, 2011</w:t>
            </w:r>
          </w:p>
        </w:tc>
        <w:tc>
          <w:tcPr/>
          <w:p>
            <w:pPr>
              <w:pStyle w:val="Compact"/>
            </w:pPr>
            <w:r>
              <w:t xml:space="preserve">P-HIL real-time simulation</w:t>
            </w:r>
          </w:p>
        </w:tc>
        <w:tc>
          <w:tcPr/>
          <w:p>
            <w:pPr>
              <w:pStyle w:val="Compact"/>
            </w:pPr>
            <w:r>
              <w:t xml:space="preserve">FPGA real-time + 3-phase MOSFET inverter + filter</w:t>
            </w:r>
          </w:p>
        </w:tc>
        <w:tc>
          <w:tcPr/>
          <w:p>
            <w:pPr>
              <w:pStyle w:val="Compact"/>
            </w:pPr>
            <w:r>
              <w:t xml:space="preserve">ตั้ง P-HIL methodology เป็นบรรทัดฐาน</w:t>
            </w:r>
          </w:p>
        </w:tc>
        <w:tc>
          <w:tcPr/>
          <w:p>
            <w:pPr>
              <w:pStyle w:val="Compact"/>
            </w:pPr>
            <w:r>
              <w:t xml:space="preserve">งานเก่า (2011); MOSFET inverter ขนาดเล็ก ไม่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Ibrahim, Rafin, Mohammed, 2025</w:t>
            </w:r>
          </w:p>
        </w:tc>
        <w:tc>
          <w:tcPr/>
          <w:p>
            <w:pPr>
              <w:pStyle w:val="Compact"/>
            </w:pPr>
            <w:r>
              <w:t xml:space="preserve">VSG vs Droop comparison, 2-inverter parallel</w:t>
            </w:r>
          </w:p>
        </w:tc>
        <w:tc>
          <w:tcPr/>
          <w:p>
            <w:pPr>
              <w:pStyle w:val="Compact"/>
            </w:pPr>
            <w:r>
              <w:t xml:space="preserve">MATLAB/Simulink → OPAL-RT HIL + TI C2000 MCU</w:t>
            </w:r>
          </w:p>
        </w:tc>
        <w:tc>
          <w:tcPr/>
          <w:p>
            <w:pPr>
              <w:pStyle w:val="Compact"/>
            </w:pPr>
            <w:r>
              <w:t xml:space="preserve">VSG ดีกว่า Droop ใน voltage/current quality, load sharing</w:t>
            </w:r>
          </w:p>
        </w:tc>
        <w:tc>
          <w:tcPr/>
          <w:p>
            <w:pPr>
              <w:pStyle w:val="Compact"/>
            </w:pPr>
            <w:r>
              <w:t xml:space="preserve">HIL only; 2 inverters เท่านั้น; ไม่ทดสอบ 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Uddin et al., 2024</w:t>
            </w:r>
          </w:p>
        </w:tc>
        <w:tc>
          <w:tcPr/>
          <w:p>
            <w:pPr>
              <w:pStyle w:val="Compact"/>
            </w:pPr>
            <w:r>
              <w:t xml:space="preserve">VSG สำหรับ Back-to-Back (B2B) inverter test bench</w:t>
            </w:r>
          </w:p>
        </w:tc>
        <w:tc>
          <w:tcPr/>
          <w:p>
            <w:pPr>
              <w:pStyle w:val="Compact"/>
            </w:pPr>
            <w:r>
              <w:t xml:space="preserve">Lab bench: 2×3-phase inverter (GFM+GFL) + LCL filter</w:t>
            </w:r>
          </w:p>
        </w:tc>
        <w:tc>
          <w:tcPr/>
          <w:p>
            <w:pPr>
              <w:pStyle w:val="Compact"/>
            </w:pPr>
            <w:r>
              <w:t xml:space="preserve">enable power circulation testing; LCL ลด harmonic</w:t>
            </w:r>
          </w:p>
        </w:tc>
        <w:tc>
          <w:tcPr/>
          <w:p>
            <w:pPr>
              <w:pStyle w:val="Compact"/>
            </w:pPr>
            <w:r>
              <w:t xml:space="preserve">test bench setup, ไม่ใช่ field; LCL standard, no innovation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Wang, Liu, Shi, Liu, 2023</w:t>
            </w:r>
          </w:p>
        </w:tc>
        <w:tc>
          <w:tcPr/>
          <w:p>
            <w:pPr>
              <w:pStyle w:val="Compact"/>
            </w:pPr>
            <w:r>
              <w:t xml:space="preserve">Full theoretical+experimental comparison: Droop vs VSG (focus Q-V dynamics)</w:t>
            </w:r>
          </w:p>
        </w:tc>
        <w:tc>
          <w:tcPr/>
          <w:p>
            <w:pPr>
              <w:pStyle w:val="Compact"/>
            </w:pPr>
            <w:r>
              <w:t xml:space="preserve">Software sim + GFM inverter hardware + math analysis</w:t>
            </w:r>
          </w:p>
        </w:tc>
        <w:tc>
          <w:tcPr/>
          <w:p>
            <w:pPr>
              <w:pStyle w:val="Compact"/>
            </w:pPr>
            <w:r>
              <w:t xml:space="preserve">รากฐานทฤษฎีว่า VSG &gt; Droop ทั้ง P-f และ Q-V</w:t>
            </w:r>
          </w:p>
        </w:tc>
        <w:tc>
          <w:tcPr/>
          <w:p>
            <w:pPr>
              <w:pStyle w:val="Compact"/>
            </w:pPr>
            <w:r>
              <w:t xml:space="preserve">linearized analysis; ไม่ครอบคลุม large-signal/nonlinear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41" w:name="สรปงานวจยแตละชน-per-paper-summary"/>
    <w:p>
      <w:pPr>
        <w:pStyle w:val="Heading3"/>
      </w:pPr>
      <w:r>
        <w:t xml:space="preserve">2.4.2 สรุปงานวิจัยแต่ละชิ้น (Per-Paper Summary)</w:t>
      </w:r>
    </w:p>
    <w:bookmarkStart w:id="29" w:name="X2558903aa5ed3265105a9b042d268aca9ce248d"/>
    <w:p>
      <w:pPr>
        <w:pStyle w:val="Heading4"/>
      </w:pPr>
      <w:r>
        <w:t xml:space="preserve">Paper 1 — Adaptive Inertia VSG with Even Power Sharing (Chang &amp; Nguyen, 2023)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วิธีการ:</w:t>
      </w:r>
      <w:r>
        <w:t xml:space="preserve"> </w:t>
      </w:r>
      <w:r>
        <w:t xml:space="preserve">ออกแบบ VSG ที่สามารถปรับค่า virtual inertia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ได้แบบ adaptive ตามสภาวะ disturbance ผสมกับกลไก feedforward ของ line impedance เพื่อให้การแบ่งโหลดระหว่างอินเวอร์เตอร์เท่ากัน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จุดเด่น:</w:t>
      </w:r>
      <w:r>
        <w:t xml:space="preserve"> </w:t>
      </w:r>
      <w:r>
        <w:t xml:space="preserve">ยืนยัน multi-inverter operation บน hardware DSP 3 ตัว แก้ deficiency ของ fixed-H VSG ที่ไม่สามารถปรับตัวได้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ข้อจำกัด (อนุมาน):</w:t>
      </w:r>
      <w:r>
        <w:t xml:space="preserve"> </w:t>
      </w:r>
      <w:r>
        <w:t xml:space="preserve">TMS320F28335 ราคาประมาณ 3,000 บาท/ตัว — scale-up cost สูง; การทดสอบจำกัดในไมโครกริดเล็ก; ไม่มี FRT scenario; ไม่ได้เปรียบเทียบกับ heterogeneous inverter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ความเกี่ยวข้อง:</w:t>
      </w:r>
      <w:r>
        <w:t xml:space="preserve"> </w:t>
      </w:r>
      <w:r>
        <w:t xml:space="preserve">Adaptive inertia เป็นทิศทางสำคัญ — โครงงานนี้สามารถต่อยอด adaptive scheme อย่างง่ายบน low-cost MCU</w:t>
      </w:r>
    </w:p>
    <w:bookmarkEnd w:id="29"/>
    <w:bookmarkStart w:id="30" w:name="X9aed822d90a0917263b247279f9e28cabe08e46"/>
    <w:p>
      <w:pPr>
        <w:pStyle w:val="Heading4"/>
      </w:pPr>
      <w:r>
        <w:t xml:space="preserve">Paper 2 — Stand-Alone Inverter VSG Control (Cherifi et al., 2022)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วิธีการ:</w:t>
      </w:r>
      <w:r>
        <w:t xml:space="preserve"> </w:t>
      </w:r>
      <w:r>
        <w:t xml:space="preserve">ออกแบบ VSG สำหรับ stand-alone (islanded) inverter ทดสอบผ่าน Processor-in-the-Loop (PIL) บน TI F28335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จุดเด่น:</w:t>
      </w:r>
      <w:r>
        <w:t xml:space="preserve"> </w:t>
      </w:r>
      <w:r>
        <w:t xml:space="preserve">Proof-of-concept ของการ deploy VSG บน DSP จริง ใช้เป็น baseline ของ islanded mode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ข้อจำกัด (อนุมาน):</w:t>
      </w:r>
      <w:r>
        <w:t xml:space="preserve"> </w:t>
      </w:r>
      <w:r>
        <w:t xml:space="preserve">PIL เท่านั้น — ไม่ใช่ inverter hardware เต็ม ดังนั้น parasitic effect ของ PWM/dead-time/measurement noise ยังไม่ถูกพิสูจน์; ไม่ครอบคลุม grid-connected mode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ความเกี่ยวข้อง:</w:t>
      </w:r>
      <w:r>
        <w:t xml:space="preserve"> </w:t>
      </w:r>
      <w:r>
        <w:t xml:space="preserve">Reference สำหรับ Phase 1 (sim-only) ของโครงงาน — ใช้เป็น benchmark ก่อนต่อ hardware</w:t>
      </w:r>
    </w:p>
    <w:bookmarkEnd w:id="30"/>
    <w:bookmarkStart w:id="31" w:name="X54159457185ea9282cd66ed7bb5193816e6c4b4"/>
    <w:p>
      <w:pPr>
        <w:pStyle w:val="Heading4"/>
      </w:pPr>
      <w:r>
        <w:t xml:space="preserve">Paper 3 — Disturbance Observer for DC Bias Rejection (Choi, Heo, Park, 2025)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วิธีการ:</w:t>
      </w:r>
      <w:r>
        <w:t xml:space="preserve"> </w:t>
      </w:r>
      <w:r>
        <w:t xml:space="preserve">ใช้ disturbance observer แบบ stationary-frame filter แทน Extended State Observer (ESO) เพื่อกำจัด DC bias ที่หลุดจาก ADC ของ measurement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จุดเด่น:</w:t>
      </w:r>
      <w:r>
        <w:t xml:space="preserve"> </w:t>
      </w:r>
      <w:r>
        <w:t xml:space="preserve">แก้ปัญหาเฉพาะที่เกิดบ่อยใน VSG hardware จริง (synchronous oscillation จาก ADC noise) — งานวิจัย simulation มักมองข้าม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ข้อจำกัด (อนุมาน):</w:t>
      </w:r>
      <w:r>
        <w:t xml:space="preserve"> </w:t>
      </w:r>
      <w:r>
        <w:t xml:space="preserve">ขอบเขตแคบ — แก้แค่ DC bias ไม่ครอบคลุม disturbance อื่น เช่น harmonic distortion, frequency drift, sensor offset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ความเกี่ยวข้อง:</w:t>
      </w:r>
      <w:r>
        <w:t xml:space="preserve"> </w:t>
      </w:r>
      <w:r>
        <w:rPr>
          <w:b/>
          <w:bCs/>
        </w:rPr>
        <w:t xml:space="preserve">สำคัญต่อ Phase 2 ของโครงงาน</w:t>
      </w:r>
      <w:r>
        <w:t xml:space="preserve"> </w:t>
      </w:r>
      <w:r>
        <w:t xml:space="preserve">เนื่องจาก ESP32 ADC มี DC bias และ INL/DNL เด่นชัด — pattern แก้ปัญหานี้นำมาประยุกต์ใช้ได้</w:t>
      </w:r>
    </w:p>
    <w:bookmarkEnd w:id="31"/>
    <w:bookmarkStart w:id="32" w:name="X1de33ef8543163515a70532602af989e3c87865"/>
    <w:p>
      <w:pPr>
        <w:pStyle w:val="Heading4"/>
      </w:pPr>
      <w:r>
        <w:t xml:space="preserve">Paper 4 — Field Demo: VSG + Diesel SG Microgrid (Hirase et al., 2022)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วิธีการ:</w:t>
      </w:r>
      <w:r>
        <w:t xml:space="preserve"> </w:t>
      </w:r>
      <w:r>
        <w:t xml:space="preserve">Field deployment ของระบบไมโครกริด: diesel SG 125 kVA + BES-inverter VSG 5 ชุด ชุดละ 20 kVA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จุดเด่น:</w:t>
      </w:r>
      <w:r>
        <w:t xml:space="preserve"> </w:t>
      </w:r>
      <w:r>
        <w:t xml:space="preserve">หลักฐานยืนยัน VSG พร้อมใช้งานจริงในสนาม (technology readiness level สูง) สอดคล้องกับการพัฒนา IEEE Std 2988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ข้อจำกัด (อนุมาน):</w:t>
      </w:r>
      <w:r>
        <w:t xml:space="preserve"> </w:t>
      </w:r>
      <w:r>
        <w:t xml:space="preserve">ระดับอุตสาหกรรม; hardware ราคาแพง; topology เฉพาะ (diesel + multiple BES); ไม่ replicate ใน lab/นิสิตได้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ความเกี่ยวข้อง:</w:t>
      </w:r>
      <w:r>
        <w:t xml:space="preserve"> </w:t>
      </w:r>
      <w:r>
        <w:t xml:space="preserve">Reference สำหรับ Chapter 5 (Discussion) — แสดงว่า scale-up จาก lab prototype ไป field deployment เป็นไปได้</w:t>
      </w:r>
    </w:p>
    <w:bookmarkEnd w:id="32"/>
    <w:bookmarkStart w:id="33" w:name="X9f7dee547ad6b20aad9716e9875cba7449e4272"/>
    <w:p>
      <w:pPr>
        <w:pStyle w:val="Heading4"/>
      </w:pPr>
      <w:r>
        <w:t xml:space="preserve">Paper 5 — Generalized VSG (Rathnayake, Razzaghi, Bahrani, 2022)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วิธีการ:</w:t>
      </w:r>
      <w:r>
        <w:t xml:space="preserve"> </w:t>
      </w:r>
      <w:r>
        <w:t xml:space="preserve">Generalized VSG (GVSG) สำหรับ GFM ที่เปลี่ยน mode (grid-connected ↔ stand-alone) ได้ smooth พร้อม closed-form gain design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จุดเด่น:</w:t>
      </w:r>
      <w:r>
        <w:t xml:space="preserve"> </w:t>
      </w:r>
      <w:r>
        <w:t xml:space="preserve">Closed-form design ทำให้ engineer คำนวณ gain ได้โดยไม่ต้อง trial-and-error; overshoot และ settling time ดีกว่า conventional VSG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ข้อจำกัด (อนุมาน):</w:t>
      </w:r>
      <w:r>
        <w:t xml:space="preserve"> </w:t>
      </w:r>
      <w:r>
        <w:t xml:space="preserve">Linearization assumption — robustness ต่อ parameter drift และ large-signal disturbance อาจลดลง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ความเกี่ยวข้อง:</w:t>
      </w:r>
      <w:r>
        <w:t xml:space="preserve"> </w:t>
      </w:r>
      <w:r>
        <w:t xml:space="preserve">Reference สำหรับ gain tuning ใน Chapter 3 (Design)</w:t>
      </w:r>
    </w:p>
    <w:bookmarkEnd w:id="33"/>
    <w:bookmarkStart w:id="34" w:name="X25d14c6138d6f15b7a3e28c8861e880429b00ab"/>
    <w:p>
      <w:pPr>
        <w:pStyle w:val="Heading4"/>
      </w:pPr>
      <w:r>
        <w:t xml:space="preserve">Paper 6 — DAE-Based VSG + HIL Validation (Chen et al., 2018)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วิธีการ:</w:t>
      </w:r>
      <w:r>
        <w:t xml:space="preserve"> </w:t>
      </w:r>
      <w:r>
        <w:t xml:space="preserve">สร้างแบบจำลอง Differential-Algebraic Equation (DAE) ของ VSG เปรียบเทียบกับการควบคุม Droop ยืนยันด้วย HIL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จุดเด่น:</w:t>
      </w:r>
      <w:r>
        <w:t xml:space="preserve"> </w:t>
      </w:r>
      <w:r>
        <w:t xml:space="preserve">Methodology benchmark sim vs. hardware ที่เป็นระบบ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ข้อจำกัด (อนุมาน):</w:t>
      </w:r>
      <w:r>
        <w:t xml:space="preserve"> </w:t>
      </w:r>
      <w:r>
        <w:t xml:space="preserve">Model อย่างง่าย ไม่ครอบคลุม inner current loop เต็มรูปแบบ — benchmark ได้แค่ outer dynamics (P-ω)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ความเกี่ยวข้อง:</w:t>
      </w:r>
      <w:r>
        <w:t xml:space="preserve"> </w:t>
      </w:r>
      <w:r>
        <w:t xml:space="preserve">Phase 1 (MATLAB simulation) ของโครงงานสามารถ adopt approach DAE สำหรับ validate Simulink model</w:t>
      </w:r>
    </w:p>
    <w:bookmarkEnd w:id="34"/>
    <w:bookmarkStart w:id="35" w:name="Xb534b2aea15f286c4e41606fd58794162740cbc"/>
    <w:p>
      <w:pPr>
        <w:pStyle w:val="Heading4"/>
      </w:pPr>
      <w:r>
        <w:t xml:space="preserve">Paper 7 — PV-VSG via RT-LAB HIL (Zhang et al., 2018)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วิธีการ:</w:t>
      </w:r>
      <w:r>
        <w:t xml:space="preserve"> </w:t>
      </w:r>
      <w:r>
        <w:t xml:space="preserve">ทดสอบ PV inverter ที่ใช้ VSG control ผ่าน RT-LAB HIL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จุดเด่น:</w:t>
      </w:r>
      <w:r>
        <w:t xml:space="preserve"> </w:t>
      </w:r>
      <w:r>
        <w:t xml:space="preserve">แสดงว่า PV inverter สามารถ provide virtual inertia ได้เหมือน SG เพิ่ม system stability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ข้อจำกัด (อนุมาน):</w:t>
      </w:r>
      <w:r>
        <w:t xml:space="preserve"> </w:t>
      </w:r>
      <w:r>
        <w:t xml:space="preserve">HIL อย่างเดียว ไม่มี physical PV hardware; ไม่ทดสอบ MPPT interaction กับ VSG ภายใต้ partial shading; ไม่ครอบคลุม DC-link dynamics เต็มรูปแบบ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ความเกี่ยวข้อง:</w:t>
      </w:r>
      <w:r>
        <w:t xml:space="preserve"> </w:t>
      </w:r>
      <w:r>
        <w:t xml:space="preserve">ไม่ตรงกับ scope ของโครงงาน (โครงงานไม่ใช่ PV-specific) แต่ยืนยันว่า VSG เป็น domain-agnostic</w:t>
      </w:r>
    </w:p>
    <w:bookmarkEnd w:id="35"/>
    <w:bookmarkStart w:id="36" w:name="X5795f335021b390feb24820160a31dd0b6776b3"/>
    <w:p>
      <w:pPr>
        <w:pStyle w:val="Heading4"/>
      </w:pPr>
      <w:r>
        <w:t xml:space="preserve">Paper 8 — Model-Free Predictive Control + VSG (Huang et al., 2025)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วิธีการ:</w:t>
      </w:r>
      <w:r>
        <w:t xml:space="preserve"> </w:t>
      </w:r>
      <w:r>
        <w:t xml:space="preserve">ใช้ Model-Free Predictive Control (RLS-based ARX) สำหรับ inner loop ผสมกับ simple VSG outer loop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จุดเด่น:</w:t>
      </w:r>
      <w:r>
        <w:t xml:space="preserve"> </w:t>
      </w:r>
      <w:r>
        <w:t xml:space="preserve">Robust ต่อ parameter uncertainty; pulse-duty dynamic characteristics ดีขึ้น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ข้อจำกัด (อนุมาน):</w:t>
      </w:r>
      <w:r>
        <w:t xml:space="preserve"> </w:t>
      </w:r>
      <w:r>
        <w:t xml:space="preserve">Algorithm ซับซ้อน ต้องการ computational power สูง — ไม่เหมาะ low-cost MCU เช่น ESP32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ความเกี่ยวข้อง:</w:t>
      </w:r>
      <w:r>
        <w:t xml:space="preserve"> </w:t>
      </w:r>
      <w:r>
        <w:t xml:space="preserve">ไม่ตรงกับ Phase 2 (low-cost hardware) แต่แสดง state-of-the-art ของ inner loop design — flag ไว้เป็น future direction</w:t>
      </w:r>
    </w:p>
    <w:bookmarkEnd w:id="36"/>
    <w:bookmarkStart w:id="37" w:name="Xd8776b39dcc086b7c7c28db2a308a73992c8169"/>
    <w:p>
      <w:pPr>
        <w:pStyle w:val="Heading4"/>
      </w:pPr>
      <w:r>
        <w:t xml:space="preserve">Paper 9 — P-HIL Real-Time Simulation (Karapanos et al., 2011)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วิธีการ:</w:t>
      </w:r>
      <w:r>
        <w:t xml:space="preserve"> </w:t>
      </w:r>
      <w:r>
        <w:t xml:space="preserve">Power Hardware-in-the-Loop (P-HIL) ผ่าน FPGA real-time simulator + 3-phase MOSFET inverter ตัวจริง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จุดเด่น:</w:t>
      </w:r>
      <w:r>
        <w:t xml:space="preserve"> </w:t>
      </w:r>
      <w:r>
        <w:t xml:space="preserve">งาน foundational ที่ตั้ง P-HIL methodology สำหรับ VSG เป็นบรรทัดฐาน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ข้อจำกัด (อนุมาน):</w:t>
      </w:r>
      <w:r>
        <w:t xml:space="preserve"> </w:t>
      </w:r>
      <w:r>
        <w:t xml:space="preserve">งานเก่า (2011); MOSFET inverter ขนาดเล็ก ไม่ scale ถึง utility level; technology FPGA สมัยนั้น expensive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ความเกี่ยวข้อง:</w:t>
      </w:r>
      <w:r>
        <w:t xml:space="preserve"> </w:t>
      </w:r>
      <w:r>
        <w:t xml:space="preserve">Historical reference + methodology baseline สำหรับ Phase 3 (hardware testing) ของโครงงาน</w:t>
      </w:r>
    </w:p>
    <w:bookmarkEnd w:id="37"/>
    <w:bookmarkStart w:id="38" w:name="Xeb6dd3c5bb70b2da0a7d810adb0dafa9b4d6bf2"/>
    <w:p>
      <w:pPr>
        <w:pStyle w:val="Heading4"/>
      </w:pPr>
      <w:r>
        <w:t xml:space="preserve">Paper 10 — VSG vs Droop on OPAL-RT HIL (Ibrahim et al., 2025)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วิธีการ:</w:t>
      </w:r>
      <w:r>
        <w:t xml:space="preserve"> </w:t>
      </w:r>
      <w:r>
        <w:t xml:space="preserve">จำลองอินเวอร์เตอร์ 2 ตัวขนานกันใน MATLAB/Simulink → deploy บน OPAL-RT HIL ร่วมกับ TI C2000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จุดเด่น:</w:t>
      </w:r>
      <w:r>
        <w:t xml:space="preserve"> </w:t>
      </w:r>
      <w:r>
        <w:t xml:space="preserve">Comparison ละเอียดของ VSG vs Droop ในแง่ voltage/current quality, load sharing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ข้อจำกัด (อนุมาน):</w:t>
      </w:r>
      <w:r>
        <w:t xml:space="preserve"> </w:t>
      </w:r>
      <w:r>
        <w:t xml:space="preserve">HIL only ไม่ใช่ physical inverter; 2 inverters เท่านั้น ไม่ scale; ไม่ทดสอบ fault scenarios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ความเกี่ยวข้อง:</w:t>
      </w:r>
      <w:r>
        <w:t xml:space="preserve"> </w:t>
      </w:r>
      <w:r>
        <w:rPr>
          <w:b/>
          <w:bCs/>
        </w:rPr>
        <w:t xml:space="preserve">สำคัญ</w:t>
      </w:r>
      <w:r>
        <w:t xml:space="preserve"> </w:t>
      </w:r>
      <w:r>
        <w:t xml:space="preserve">— workflow คล้ายโครงงาน (MATLAB → HIL → hardware) ใช้เป็น reference ของ comparison metrics</w:t>
      </w:r>
    </w:p>
    <w:bookmarkEnd w:id="38"/>
    <w:bookmarkStart w:id="39" w:name="X2fe5d236a16e3aaa7f25eb727886aaade905b4c"/>
    <w:p>
      <w:pPr>
        <w:pStyle w:val="Heading4"/>
      </w:pPr>
      <w:r>
        <w:t xml:space="preserve">Paper 11 — VSG for Back-to-Back Inverter Test Bench (Uddin et al., 2024)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วิธีการ:</w:t>
      </w:r>
      <w:r>
        <w:t xml:space="preserve"> </w:t>
      </w:r>
      <w:r>
        <w:t xml:space="preserve">ใช้ VSG บน test bench ที่อินเวอร์เตอร์ 2 ตัวต่อ back-to-back สำหรับ power-circulation testing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จุดเด่น:</w:t>
      </w:r>
      <w:r>
        <w:t xml:space="preserve"> </w:t>
      </w:r>
      <w:r>
        <w:t xml:space="preserve">Regenerative testing ประหยัดพลังงานในการทดสอบต่อเนื่อง; LCL filter ลด harmonic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ข้อจำกัด (อนุมาน):</w:t>
      </w:r>
      <w:r>
        <w:t xml:space="preserve"> </w:t>
      </w:r>
      <w:r>
        <w:t xml:space="preserve">Test bench setup ไม่ใช่ field deployment; LCL filter เป็น standard ไม่ใช่ innovation; B2B ไม่สะท้อน weak grid scenario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ความเกี่ยวข้อง:</w:t>
      </w:r>
      <w:r>
        <w:t xml:space="preserve"> </w:t>
      </w:r>
      <w:r>
        <w:t xml:space="preserve">B2B testing methodology น่าสนใจสำหรับ Phase 3 — ประหยัดพลังงานในการทดสอบยาว</w:t>
      </w:r>
    </w:p>
    <w:bookmarkEnd w:id="39"/>
    <w:bookmarkStart w:id="40" w:name="X9dd36fb993c754d33fcc760d21cee448f9efcc2"/>
    <w:p>
      <w:pPr>
        <w:pStyle w:val="Heading4"/>
      </w:pPr>
      <w:r>
        <w:t xml:space="preserve">Paper 12 — Full Comparison: Droop vs VSG with Q-V Dynamics (Wang et al., 2023)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วิธีการ:</w:t>
      </w:r>
      <w:r>
        <w:t xml:space="preserve"> </w:t>
      </w:r>
      <w:r>
        <w:t xml:space="preserve">Theoretical + experimental comparison ของ Droop และ VSG focus ที่ P-f และ Q-V dynamics ทั้ง stand-alone และ grid-connected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จุดเด่น:</w:t>
      </w:r>
      <w:r>
        <w:t xml:space="preserve"> </w:t>
      </w:r>
      <w:r>
        <w:t xml:space="preserve">ให้พื้นฐานทฤษฎีอย่างสมบูรณ์ว่า VSG เหนือกว่า Droop ในทั้งสองมิติ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ข้อจำกัด (อนุมาน):</w:t>
      </w:r>
      <w:r>
        <w:t xml:space="preserve"> </w:t>
      </w:r>
      <w:r>
        <w:t xml:space="preserve">Linearized analysis เป็นหลัก ไม่ครอบคลุม large-signal/nonlinear behavior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ความเกี่ยวข้อง:</w:t>
      </w:r>
      <w:r>
        <w:t xml:space="preserve"> </w:t>
      </w:r>
      <w:r>
        <w:t xml:space="preserve">Reference สำคัญสำหรับ Chapter 2 และ Chapter 5 — รากฐานทฤษฎีในการเลือก VSG เหนือ Droop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การวเคราะหชองวางทางวจย-gap-analysis"/>
    <w:p>
      <w:pPr>
        <w:pStyle w:val="Heading3"/>
      </w:pPr>
      <w:r>
        <w:t xml:space="preserve">2.4.3 การวิเคราะห์ช่องว่างทางวิจัย (Gap Analysis)</w:t>
      </w:r>
    </w:p>
    <w:p>
      <w:pPr>
        <w:pStyle w:val="FirstParagraph"/>
      </w:pPr>
      <w:r>
        <w:t xml:space="preserve">จากการทบทวนงานวิจัย 12 ชิ้นข้างต้น สามารถระบุรูปแบบ (pattern) และช่องว่างที่ปรากฏซ้ำ ๆ ได้ดังนี้</w:t>
      </w:r>
    </w:p>
    <w:bookmarkStart w:id="42" w:name="X591a4adcb596abb6131a2a005d7e0b996dd77eb"/>
    <w:p>
      <w:pPr>
        <w:pStyle w:val="Heading4"/>
      </w:pPr>
      <w:r>
        <w:t xml:space="preserve">Gap 1: Hardware Platform — DSP ราคาสูงครอบงำ literature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ข้อเท็จจริง:</w:t>
      </w:r>
      <w:r>
        <w:t xml:space="preserve"> </w:t>
      </w:r>
      <w:r>
        <w:t xml:space="preserve">ทุก paper ที่ระบุ MCU/DSP ใช้ TI TMS320F28335 หรือ TI C2000 family (~3,000–5,000 บาท/ตัว) หรือ FPGA-class hardware;</w:t>
      </w:r>
      <w:r>
        <w:t xml:space="preserve"> </w:t>
      </w:r>
      <w:r>
        <w:rPr>
          <w:b/>
          <w:bCs/>
        </w:rPr>
        <w:t xml:space="preserve">ไม่มี paper ใดใน 12 ชิ้นนี้ใช้ low-cost platform เช่น ESP32 (~150–300 บาท) หรือ STM32F1/F4 ระดับล่าง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เหตุผลทางเทคนิค:</w:t>
      </w:r>
      <w:r>
        <w:t xml:space="preserve"> </w:t>
      </w:r>
      <w:r>
        <w:t xml:space="preserve">VSG ต้องการ fast inner current loop (1–10 kHz bandwidth) + floating-point math + ADC ความเร็วสูงพร้อม sync กับ PWM — TI C2000 ออกแบบมาเฉพาะงานนี้ (มี HRPWM, ADC trigger-on-PWM, hardware EPWM)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โอกาส:</w:t>
      </w:r>
      <w:r>
        <w:t xml:space="preserve"> </w:t>
      </w:r>
      <w:r>
        <w:t xml:space="preserve">ESP32-S3 มี FPU, dual-core 240 MHz, ADC 12-bit ในตัว, ราคาถูกหลายเท่า — มีศักยภาพแต่ยังไม่ถูกพิสูจน์ในวรรณกรรม VSG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ทิศทางที่โครงงานนี้จะเติม:</w:t>
      </w:r>
      <w:r>
        <w:t xml:space="preserve"> </w:t>
      </w:r>
      <w:r>
        <w:t xml:space="preserve">Demonstrating feasibility ของ ESP32 สำหรับ VSG</w:t>
      </w:r>
      <w:r>
        <w:t xml:space="preserve"> </w:t>
      </w:r>
      <w:r>
        <w:rPr>
          <w:b/>
          <w:bCs/>
        </w:rPr>
        <w:t xml:space="preserve">outer loop</w:t>
      </w:r>
      <w:r>
        <w:t xml:space="preserve"> </w:t>
      </w:r>
      <w:r>
        <w:t xml:space="preserve">(P-ω, Q-V) โดยอาจ delegate inner current loop ให้ analog circuit หรือลด switching frequency ลงในระดับที่ ESP32 รับได้ (~2–5 kHz)</w:t>
      </w:r>
    </w:p>
    <w:bookmarkEnd w:id="42"/>
    <w:bookmarkStart w:id="43" w:name="gap-2-validation-chain-discontinuity"/>
    <w:p>
      <w:pPr>
        <w:pStyle w:val="Heading4"/>
      </w:pPr>
      <w:r>
        <w:t xml:space="preserve">Gap 2: Validation Chain Discontinuity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ข้อเท็จจริง:</w:t>
      </w:r>
      <w:r>
        <w:t xml:space="preserve"> </w:t>
      </w:r>
      <w:r>
        <w:t xml:space="preserve">Papers ส่วนใหญ่จบที่ขั้นใดขั้นหนึ่ง:</w:t>
      </w:r>
    </w:p>
    <w:p>
      <w:pPr>
        <w:pStyle w:val="Compact"/>
        <w:numPr>
          <w:ilvl w:val="1"/>
          <w:numId w:val="1017"/>
        </w:numPr>
      </w:pPr>
      <w:r>
        <w:t xml:space="preserve">Pure simulation/DAE only: 1 paper (Paper 6 จะ pair กับ HIL)</w:t>
      </w:r>
    </w:p>
    <w:p>
      <w:pPr>
        <w:pStyle w:val="Compact"/>
        <w:numPr>
          <w:ilvl w:val="1"/>
          <w:numId w:val="1017"/>
        </w:numPr>
      </w:pPr>
      <w:r>
        <w:t xml:space="preserve">Simulation + PIL: 1 paper (Paper 2)</w:t>
      </w:r>
    </w:p>
    <w:p>
      <w:pPr>
        <w:pStyle w:val="Compact"/>
        <w:numPr>
          <w:ilvl w:val="1"/>
          <w:numId w:val="1017"/>
        </w:numPr>
      </w:pPr>
      <w:r>
        <w:t xml:space="preserve">HIL only: 4 papers (Papers 6, 7, 10 + part of 9)</w:t>
      </w:r>
    </w:p>
    <w:p>
      <w:pPr>
        <w:pStyle w:val="Compact"/>
        <w:numPr>
          <w:ilvl w:val="1"/>
          <w:numId w:val="1017"/>
        </w:numPr>
      </w:pPr>
      <w:r>
        <w:t xml:space="preserve">Hardware bench / Field: 5 papers (Papers 1, 3, 4, 8, 11, 12)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ช่องว่าง:</w:t>
      </w:r>
      <w:r>
        <w:t xml:space="preserve"> </w:t>
      </w:r>
      <w:r>
        <w:rPr>
          <w:b/>
          <w:bCs/>
        </w:rPr>
        <w:t xml:space="preserve">ไม่มี paper ใดที่นำเสนอ full chain</w:t>
      </w:r>
      <w:r>
        <w:t xml:space="preserve"> </w:t>
      </w:r>
      <w:r>
        <w:t xml:space="preserve">ตั้งแต่ MATLAB → HIL → physical prototype พร้อมเปรียบเทียบ output ของแต่ละขั้นในระบบเดียวกัน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ทิศทางที่โครงงานนี้จะเติม:</w:t>
      </w:r>
      <w:r>
        <w:t xml:space="preserve"> </w:t>
      </w:r>
      <w:r>
        <w:t xml:space="preserve">เนื่องจาก roadmap ของโครงงานคือ MATLAB Phase 1 → HIL Phase 2 → physical prototype Phase 3 การแสดง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ของ swing equation behavior ตลอด pipeline จะเป็น contribution ที่ฟิตกับ educational/research context</w:t>
      </w:r>
    </w:p>
    <w:bookmarkEnd w:id="43"/>
    <w:bookmarkStart w:id="44" w:name="Xbb9d62f672fe1796e402058f78d8929b75c72b3"/>
    <w:p>
      <w:pPr>
        <w:pStyle w:val="Heading4"/>
      </w:pPr>
      <w:r>
        <w:t xml:space="preserve">Gap 3: Fault Ride-Through (FRT) Underexplored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ข้อเท็จจริง:</w:t>
      </w:r>
      <w:r>
        <w:t xml:space="preserve"> </w:t>
      </w:r>
      <w:r>
        <w:t xml:space="preserve">ในงานวิจัย 12 ชิ้น</w:t>
      </w:r>
      <w:r>
        <w:t xml:space="preserve"> </w:t>
      </w:r>
      <w:r>
        <w:rPr>
          <w:b/>
          <w:bCs/>
        </w:rPr>
        <w:t xml:space="preserve">ไม่มีการทดสอบ LVRT/HVRT ตามมาตรฐาน IEEE 1547-2018 อย่างเป็นระบบ</w:t>
      </w:r>
      <w:r>
        <w:t xml:space="preserve">; Paper 4 (Hirase et al., 2022) กล่าวถึง IEEE Std 2988 แต่ไม่ลงรายละเอียด FRT testing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เหตุผล:</w:t>
      </w:r>
      <w:r>
        <w:t xml:space="preserve"> </w:t>
      </w:r>
      <w:r>
        <w:t xml:space="preserve">FRT ต้องการ current limiter ที่ออกแบบดี + fault detection logic — เป็นโจทย์ engineering ยุ่งยากที่ส่วนใหญ่ skip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ทิศทางที่โครงงานนี้จะเติม:</w:t>
      </w:r>
      <w:r>
        <w:t xml:space="preserve"> </w:t>
      </w:r>
      <w:r>
        <w:t xml:space="preserve">ถ้ายังไม่อยู่ใน Phase 1 อาจวาง roadmap ให้ Phase 3 หรือ future work รวม simple LVRT scenario (voltage sag 0.5 pu, 150 ms) ตาม IEEE 1547-2018 Cat. III</w:t>
      </w:r>
    </w:p>
    <w:bookmarkEnd w:id="44"/>
    <w:bookmarkStart w:id="45" w:name="gap-4-adaptive-vs-fixed-parameters"/>
    <w:p>
      <w:pPr>
        <w:pStyle w:val="Heading4"/>
      </w:pPr>
      <w:r>
        <w:t xml:space="preserve">Gap 4: Adaptive vs Fixed Parameters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ข้อเท็จจริง:</w:t>
      </w:r>
      <w:r>
        <w:t xml:space="preserve"> </w:t>
      </w:r>
      <w:r>
        <w:t xml:space="preserve">Paper 1 (2023) เป็น paper เดียวที่นำเสนอ</w:t>
      </w:r>
      <w:r>
        <w:t xml:space="preserve"> </w:t>
      </w:r>
      <w:r>
        <w:rPr>
          <w:b/>
          <w:bCs/>
        </w:rPr>
        <w:t xml:space="preserve">adaptive inertia</w:t>
      </w:r>
      <w:r>
        <w:t xml:space="preserve">; ส่วนที่เหลือใช้ fixed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ที่ตั้งค่าครั้งเดียว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เหตุผล:</w:t>
      </w:r>
      <w:r>
        <w:t xml:space="preserve"> </w:t>
      </w:r>
      <w:r>
        <w:t xml:space="preserve">Fixed parameters ง่ายต่อการ analysis แต่ไม่ optimal สำหรับ operating conditions ที่หลากหลาย (load light vs heavy, grid stiff vs weak)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ทิศทางที่โครงงานนี้จะเติม:</w:t>
      </w:r>
      <w:r>
        <w:t xml:space="preserve"> </w:t>
      </w:r>
      <w:r>
        <w:t xml:space="preserve">ถ้าโครงงานเริ่มจาก fixed parameters ใน Phase 1 อาจเสนอ adaptive scheme อย่างง่าย (lookup table หรือ rule-based) ใน Phase 2</w:t>
      </w:r>
    </w:p>
    <w:bookmarkEnd w:id="45"/>
    <w:bookmarkStart w:id="46" w:name="gap-5-multi-vsg-interaction"/>
    <w:p>
      <w:pPr>
        <w:pStyle w:val="Heading4"/>
      </w:pPr>
      <w:r>
        <w:t xml:space="preserve">Gap 5: Multi-VSG Interaction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ข้อเท็จจริง:</w:t>
      </w:r>
      <w:r>
        <w:t xml:space="preserve"> </w:t>
      </w:r>
      <w:r>
        <w:t xml:space="preserve">Paper 1 (3 inverters parallel), Paper 4 (5 BES inverters + diesel), Paper 10 (2 inverters parallel) เป็นเพียง 3 paper ที่ทดสอบ multi-VSG; ส่วนที่เหลือเป็น single-VSG หรือ VSG+SG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ช่องว่าง:</w:t>
      </w:r>
      <w:r>
        <w:t xml:space="preserve"> </w:t>
      </w:r>
      <w:r>
        <w:t xml:space="preserve">การศึกษา interaction ระหว่าง VSG หลายตัวที่มี parameter</w:t>
      </w:r>
      <w:r>
        <w:t xml:space="preserve"> </w:t>
      </w:r>
      <w:r>
        <w:rPr>
          <w:b/>
          <w:bCs/>
        </w:rPr>
        <w:t xml:space="preserve">ต่างกัน</w:t>
      </w:r>
      <w:r>
        <w:t xml:space="preserve"> </w:t>
      </w:r>
      <w:r>
        <w:t xml:space="preserve">(heterogeneous VSG) ยังจำกัด — Paper 1 และ 10 ใช้ identical inverters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ทิศทางที่โครงงานนี้จะเติม:</w:t>
      </w:r>
      <w:r>
        <w:t xml:space="preserve"> </w:t>
      </w:r>
      <w:r>
        <w:t xml:space="preserve">Multi-VSG อาจ out-of-scope สำหรับ Phase 1 — ระบุเป็น future work / Chapter 5 (Discussion)</w:t>
      </w:r>
    </w:p>
    <w:bookmarkEnd w:id="46"/>
    <w:bookmarkStart w:id="47" w:name="gap-6-limited-q-v-dynamic-analysis"/>
    <w:p>
      <w:pPr>
        <w:pStyle w:val="Heading4"/>
      </w:pPr>
      <w:r>
        <w:t xml:space="preserve">Gap 6: Limited Q-V Dynamic Analysis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ข้อเท็จจริง:</w:t>
      </w:r>
      <w:r>
        <w:t xml:space="preserve"> </w:t>
      </w:r>
      <w:r>
        <w:t xml:space="preserve">Papers ส่วนใหญ่ focus ที่ P-f dynamics; Paper 12 (Wang et al., 2023) เป็น paper เดียวที่ให้น้ำหนักเท่ากันกับ Q-V dynamics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ทิศทางที่โครงงานนี้จะเติม:</w:t>
      </w:r>
      <w:r>
        <w:t xml:space="preserve"> </w:t>
      </w:r>
      <w:r>
        <w:t xml:space="preserve">ใน implementation ควรให้ Q-V loop เป็นส่วนสำคัญ ไม่ใช่ afterthought; ใช้ dynamic Q-V (excitation emulation) แทน static Q-V droop ตามที่เสนอใน Section 2.3.3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ed6b2147f1aa9bb3c8e40e9221c79730972377f"/>
    <w:p>
      <w:pPr>
        <w:pStyle w:val="Heading3"/>
      </w:pPr>
      <w:r>
        <w:t xml:space="preserve">2.4.4 สรุปช่องว่างที่โครงงานนี้จะเติม (Specific Contributions of This Thesis)</w:t>
      </w:r>
    </w:p>
    <w:p>
      <w:pPr>
        <w:pStyle w:val="FirstParagraph"/>
      </w:pPr>
      <w:r>
        <w:t xml:space="preserve">จาก Gap Analysis ข้างต้น โครงงานนี้มีศักยภาพในการมีส่วนร่วม (contribution) ในประเด็นต่อไปนี้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Cost-effective VSG implementation บน low-cost MCU</w:t>
      </w:r>
      <w:r>
        <w:t xml:space="preserve"> </w:t>
      </w:r>
      <w:r>
        <w:t xml:space="preserve">— เติม</w:t>
      </w:r>
      <w:r>
        <w:t xml:space="preserve"> </w:t>
      </w:r>
      <w:r>
        <w:rPr>
          <w:b/>
          <w:bCs/>
        </w:rPr>
        <w:t xml:space="preserve">Gap 1</w:t>
      </w:r>
      <w:r>
        <w:t xml:space="preserve"> </w:t>
      </w:r>
      <w:r>
        <w:t xml:space="preserve">โดย demonstrate feasibility ของ ESP32 (หรือ MCU ราคาใกล้เคียง) สำหรับ VSG outer loop ซึ่งเป็น gap หลักของ literature ที่ใช้ TI C2000/FPGA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End-to-end validation pipeline (MATLAB → HIL → physical)</w:t>
      </w:r>
      <w:r>
        <w:t xml:space="preserve"> </w:t>
      </w:r>
      <w:r>
        <w:t xml:space="preserve">— เติม</w:t>
      </w:r>
      <w:r>
        <w:t xml:space="preserve"> </w:t>
      </w:r>
      <w:r>
        <w:rPr>
          <w:b/>
          <w:bCs/>
        </w:rPr>
        <w:t xml:space="preserve">Gap 2</w:t>
      </w:r>
      <w:r>
        <w:t xml:space="preserve"> </w:t>
      </w:r>
      <w:r>
        <w:t xml:space="preserve">โดยแสดง consistency ของ VSG behavior ตลอด development chain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Educational reproducibility</w:t>
      </w:r>
      <w:r>
        <w:t xml:space="preserve"> </w:t>
      </w:r>
      <w:r>
        <w:t xml:space="preserve">— Hardware และ source code ที่ accessible สำหรับ undergrad engineering สามารถ replicate ได้ในงบประมาณนิสิต — bridge ระหว่าง academic research กับ educational outreach</w:t>
      </w:r>
    </w:p>
    <w:p>
      <w:pPr>
        <w:pStyle w:val="BlockText"/>
      </w:pPr>
      <w:r>
        <w:rPr>
          <w:b/>
          <w:bCs/>
        </w:rPr>
        <w:t xml:space="preserve">หมายเหตุ:</w:t>
      </w:r>
      <w:r>
        <w:t xml:space="preserve"> </w:t>
      </w:r>
      <w:r>
        <w:t xml:space="preserve">Gap 3 (FRT), Gap 4 (adaptive), Gap 5 (multi-VSG), Gap 6 (Q-V dynamics) สามารถ scope เป็น future work หรือ Phase 4 ของโครงงานได้ — ขึ้นกับเวลาและทรัพยากร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มาตรฐานและขอกำหนดกรด"/>
    <w:p>
      <w:pPr>
        <w:pStyle w:val="Heading2"/>
      </w:pPr>
      <w:r>
        <w:t xml:space="preserve">2.5 มาตรฐานและข้อกำหนดกริด</w:t>
      </w:r>
    </w:p>
    <w:bookmarkStart w:id="51" w:name="grid-codes-and-interconnection-standards"/>
    <w:p>
      <w:pPr>
        <w:pStyle w:val="Heading3"/>
      </w:pPr>
      <w:r>
        <w:t xml:space="preserve">(Grid Codes and Interconnection Standards)</w:t>
      </w:r>
    </w:p>
    <w:bookmarkEnd w:id="51"/>
    <w:bookmarkStart w:id="52" w:name="Xab8e62e40ed7201ec57d4ae36d90e627584a800"/>
    <w:p>
      <w:pPr>
        <w:pStyle w:val="Heading3"/>
      </w:pPr>
      <w:r>
        <w:t xml:space="preserve">2.5.1 IEEE Std 1547-2018 — Standard for Interconnection and Interoperability of Distributed Energy Resources (DER)</w:t>
      </w:r>
    </w:p>
    <w:p>
      <w:pPr>
        <w:pStyle w:val="FirstParagraph"/>
      </w:pPr>
      <w:r>
        <w:t xml:space="preserve">มาตรฐาน IEEE 1547-2018 เป็นมาตรฐานสากลที่กำหนดข้อกำหนดทางเทคนิคสำหรับการเชื่อมต่อ Distributed Energy Resources (รวมถึงอินเวอร์เตอร์) เข้ากับ Electric Power System (EPS) มีการ revise ครั้งใหญ่จากฉบับปี 2003 โดยเพิ่มข้อกำหนดที่สำคัญต่อ VSG/GFM ดังนี้</w:t>
      </w:r>
    </w:p>
    <w:p>
      <w:pPr>
        <w:pStyle w:val="BodyText"/>
      </w:pPr>
      <w:r>
        <w:rPr>
          <w:b/>
          <w:bCs/>
        </w:rPr>
        <w:t xml:space="preserve">Performance Categories (Category I, II, III):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Category I</w:t>
      </w:r>
      <w:r>
        <w:t xml:space="preserve"> </w:t>
      </w:r>
      <w:r>
        <w:t xml:space="preserve">— minimum capability สำหรับระบบที่มี DER สัดส่วนต่ำ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Category II</w:t>
      </w:r>
      <w:r>
        <w:t xml:space="preserve"> </w:t>
      </w:r>
      <w:r>
        <w:t xml:space="preserve">— สำหรับ bulk system stability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Category III</w:t>
      </w:r>
      <w:r>
        <w:t xml:space="preserve"> </w:t>
      </w:r>
      <w:r>
        <w:t xml:space="preserve">— สำหรับระบบที่ต้องการ ride-through และ ancillary support ระดับสูง</w:t>
      </w:r>
    </w:p>
    <w:p>
      <w:pPr>
        <w:pStyle w:val="BodyText"/>
      </w:pPr>
      <w:r>
        <w:rPr>
          <w:b/>
          <w:bCs/>
        </w:rPr>
        <w:t xml:space="preserve">Frequency / Voltage Ride-Through (FRT/VRT):</w:t>
      </w:r>
      <w:r>
        <w:t xml:space="preserve"> </w:t>
      </w:r>
      <w:r>
        <w:t xml:space="preserve">- DER ต้องทำงานต่อเนื่องผ่าน frequency event ในช่วง 57.0–61.2 Hz (Cat. III)</w:t>
      </w:r>
      <w:r>
        <w:t xml:space="preserve"> </w:t>
      </w:r>
      <w:r>
        <w:t xml:space="preserve">- ต้องรับมือ voltage dip ลึกถึง 0 pu เป็นเวลา 0.16 s (LVRT) และแรงดันเกินถึง 1.20 pu เป็นเวลาที่กำหนด (HVRT)</w:t>
      </w:r>
    </w:p>
    <w:p>
      <w:pPr>
        <w:pStyle w:val="BodyText"/>
      </w:pPr>
      <w:r>
        <w:rPr>
          <w:b/>
          <w:bCs/>
        </w:rPr>
        <w:t xml:space="preserve">Frequency Response (Frequency-Watt):</w:t>
      </w:r>
      <w:r>
        <w:t xml:space="preserve"> </w:t>
      </w:r>
      <w:r>
        <w:t xml:space="preserve">- กำหนดให้ DER ต้องลด active power เมื่อ over-frequency และเพิ่มเมื่อ under-frequency</w:t>
      </w:r>
      <w:r>
        <w:t xml:space="preserve"> </w:t>
      </w:r>
      <w:r>
        <w:t xml:space="preserve">- Droop range: 0.02–0.10 (2–10%) เริ่ม respond ที่ deadband 0.036 Hz (Cat. III)</w:t>
      </w:r>
    </w:p>
    <w:p>
      <w:pPr>
        <w:pStyle w:val="BodyText"/>
      </w:pPr>
      <w:r>
        <w:rPr>
          <w:b/>
          <w:bCs/>
        </w:rPr>
        <w:t xml:space="preserve">Voltage Regulation (Volt-VAR / Volt-Watt):</w:t>
      </w:r>
      <w:r>
        <w:t xml:space="preserve"> </w:t>
      </w:r>
      <w:r>
        <w:t xml:space="preserve">- DER ต้องสามารถจ่ายและดูดซับ reactive power ตาม Q-V characteristic ที่กำหนด</w:t>
      </w:r>
    </w:p>
    <w:p>
      <w:pPr>
        <w:pStyle w:val="BlockText"/>
      </w:pPr>
      <w:r>
        <w:rPr>
          <w:b/>
          <w:bCs/>
        </w:rPr>
        <w:t xml:space="preserve">หมายเหตุ:</w:t>
      </w:r>
      <w:r>
        <w:t xml:space="preserve"> </w:t>
      </w:r>
      <w:r>
        <w:t xml:space="preserve">IEEE 1547 ไม่ระบุว่าต้องเป็น GFL หรือ GFM แต่ Cat. III ต้องการสมรรถนะที่ GFM/VSG ทำได้ดีกว่า GFL อย่างชัดเจน [IEEE Std 1547-2018]</w:t>
      </w:r>
    </w:p>
    <w:bookmarkEnd w:id="52"/>
    <w:bookmarkStart w:id="53" w:name="ขอกำหนด-rocof-ทยอมรบได"/>
    <w:p>
      <w:pPr>
        <w:pStyle w:val="Heading3"/>
      </w:pPr>
      <w:r>
        <w:t xml:space="preserve">2.5.2 ข้อกำหนด RoCoF ที่ยอมรับได้</w:t>
      </w:r>
    </w:p>
    <w:p>
      <w:pPr>
        <w:pStyle w:val="FirstParagraph"/>
      </w:pPr>
      <w:r>
        <w:t xml:space="preserve">Rate of Change of Frequency (RoCoF) เป็นพารามิเตอร์สำคัญในการประเมินผลกระทบของ low-inertia system มาตรฐานในระดับสากลกำหนดดังนี้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ภูมิภาค / Grid Operator</w:t>
            </w:r>
          </w:p>
        </w:tc>
        <w:tc>
          <w:tcPr/>
          <w:p>
            <w:pPr>
              <w:pStyle w:val="Compact"/>
            </w:pPr>
            <w:r>
              <w:t xml:space="preserve">RoCoF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ENTSO-E (Continental Europe)</w:t>
            </w:r>
          </w:p>
        </w:tc>
        <w:tc>
          <w:tcPr/>
          <w:p>
            <w:pPr>
              <w:pStyle w:val="Compact"/>
            </w:pPr>
            <w:r>
              <w:t xml:space="preserve">1.0 Hz/s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 National Grid</w:t>
            </w:r>
          </w:p>
        </w:tc>
        <w:tc>
          <w:tcPr/>
          <w:p>
            <w:pPr>
              <w:pStyle w:val="Compact"/>
            </w:pPr>
            <w:r>
              <w:t xml:space="preserve">1.0 Hz/s (เดิม 0.125 Hz/s)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Ireland EirGrid</w:t>
            </w:r>
          </w:p>
        </w:tc>
        <w:tc>
          <w:tcPr/>
          <w:p>
            <w:pPr>
              <w:pStyle w:val="Compact"/>
            </w:pPr>
            <w:r>
              <w:t xml:space="preserve">1.0 Hz/s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Australia AEMO</w:t>
            </w:r>
          </w:p>
        </w:tc>
        <w:tc>
          <w:tcPr/>
          <w:p>
            <w:pPr>
              <w:pStyle w:val="Compact"/>
            </w:pPr>
            <w:r>
              <w:t xml:space="preserve">1.0–2.0 Hz/s (ขึ้นกับ region)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IEEE 1547-2018 (Cat. III)</w:t>
            </w:r>
          </w:p>
        </w:tc>
        <w:tc>
          <w:tcPr/>
          <w:p>
            <w:pPr>
              <w:pStyle w:val="Compact"/>
            </w:pPr>
            <w:r>
              <w:t xml:space="preserve">ride-through 3.0 Hz/s</w:t>
            </w:r>
          </w:p>
        </w:tc>
      </w:tr>
    </w:tbl>
    <w:p>
      <w:pPr>
        <w:pStyle w:val="BodyText"/>
      </w:pPr>
      <w:r>
        <w:t xml:space="preserve">VSG ช่วยลด RoCoF ของระบบโดยการ inject inertial power ทันทีที่ disturbance เกิด ทำให้ system รักษา RoCoF ให้อยู่ในเกณฑ์ของ grid code</w:t>
      </w:r>
    </w:p>
    <w:bookmarkEnd w:id="53"/>
    <w:bookmarkStart w:id="54" w:name="fault-ride-through-frt-requirements"/>
    <w:p>
      <w:pPr>
        <w:pStyle w:val="Heading3"/>
      </w:pPr>
      <w:r>
        <w:t xml:space="preserve">2.5.3 Fault Ride-Through (FRT) Requirements</w:t>
      </w:r>
    </w:p>
    <w:p>
      <w:pPr>
        <w:pStyle w:val="FirstParagraph"/>
      </w:pPr>
      <w:r>
        <w:rPr>
          <w:b/>
          <w:bCs/>
        </w:rPr>
        <w:t xml:space="preserve">Low Voltage Ride-Through (LVRT):</w:t>
      </w:r>
      <w:r>
        <w:t xml:space="preserve"> </w:t>
      </w:r>
      <w:r>
        <w:t xml:space="preserve">- เมื่อแรงดันที่จุดเชื่อมต่อ (Point of Connection, POC) ลดลงต่ำกว่า nominal อินเวอร์เตอร์ต้องไม่ disconnect และต้อง inject reactive current เพื่อช่วยพยุงแรงดัน</w:t>
      </w:r>
      <w:r>
        <w:t xml:space="preserve"> </w:t>
      </w:r>
      <w:r>
        <w:t xml:space="preserve">- Reactive current ที่กำหนด:</w:t>
      </w:r>
      <w:r>
        <w:t xml:space="preserve"> </w:t>
      </w:r>
      <m:oMath>
        <m:sSub>
          <m:e>
            <m:r>
              <m:t>I</m:t>
            </m:r>
          </m:e>
          <m:sub>
            <m:r>
              <m:t>q</m:t>
            </m:r>
          </m:sub>
        </m:sSub>
        <m:r>
          <m:rPr>
            <m:sty m:val="p"/>
          </m:rPr>
          <m:t>≥</m:t>
        </m:r>
        <m:r>
          <m:t>k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V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โดย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2.0</m:t>
        </m:r>
      </m:oMath>
      <w:r>
        <w:t xml:space="preserve"> </w:t>
      </w:r>
      <w:r>
        <w:t xml:space="preserve">pu/pu สำหรับ German Grid Code</w:t>
      </w:r>
    </w:p>
    <w:p>
      <w:pPr>
        <w:pStyle w:val="BodyText"/>
      </w:pPr>
      <w:r>
        <w:rPr>
          <w:b/>
          <w:bCs/>
        </w:rPr>
        <w:t xml:space="preserve">High Voltage Ride-Through (HVRT):</w:t>
      </w:r>
      <w:r>
        <w:t xml:space="preserve"> </w:t>
      </w:r>
      <w:r>
        <w:t xml:space="preserve">- เมื่อแรงดันสูงขึ้นชั่วคราว (เช่น load rejection) อินเวอร์เตอร์ต้อง absorb reactive power</w:t>
      </w:r>
    </w:p>
    <w:p>
      <w:pPr>
        <w:pStyle w:val="BodyText"/>
      </w:pPr>
      <w:r>
        <w:rPr>
          <w:b/>
          <w:bCs/>
        </w:rPr>
        <w:t xml:space="preserve">LVRT/HVRT envelope:</w:t>
      </w:r>
      <w:r>
        <w:t xml:space="preserve"> </w:t>
      </w:r>
      <w:r>
        <w:t xml:space="preserve">กำหนดเป็น V-t curve ที่อินเวอร์เตอร์ต้อง remain connected (ดู IEEE 1547-2018 Figure H.5, H.6)</w:t>
      </w:r>
    </w:p>
    <w:bookmarkEnd w:id="54"/>
    <w:bookmarkStart w:id="55" w:name="grid-code-ของประเทศไทย"/>
    <w:p>
      <w:pPr>
        <w:pStyle w:val="Heading3"/>
      </w:pPr>
      <w:r>
        <w:t xml:space="preserve">2.5.4 Grid Code ของประเทศไทย</w:t>
      </w:r>
    </w:p>
    <w:p>
      <w:pPr>
        <w:pStyle w:val="FirstParagraph"/>
      </w:pPr>
      <w:r>
        <w:t xml:space="preserve">ระบบไฟฟ้าในประเทศไทยกำกับดูแลโดยสามหน่วยงานหลัก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EGAT</w:t>
      </w:r>
      <w:r>
        <w:t xml:space="preserve"> </w:t>
      </w:r>
      <w:r>
        <w:t xml:space="preserve">(การไฟฟ้าฝ่ายผลิตแห่งประเทศไทย) — transmission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PEA</w:t>
      </w:r>
      <w:r>
        <w:t xml:space="preserve"> </w:t>
      </w:r>
      <w:r>
        <w:t xml:space="preserve">(การไฟฟ้าส่วนภูมิภาค) — distribution ต่างจังหวัด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</w:t>
      </w:r>
      <w:r>
        <w:t xml:space="preserve"> </w:t>
      </w:r>
      <w:r>
        <w:t xml:space="preserve">(การไฟฟ้านครหลวง) — distribution กรุงเทพและปริมณฑล</w:t>
      </w:r>
    </w:p>
    <w:p>
      <w:pPr>
        <w:pStyle w:val="BodyText"/>
      </w:pPr>
      <w:r>
        <w:rPr>
          <w:b/>
          <w:bCs/>
        </w:rPr>
        <w:t xml:space="preserve">ข้อกำหนดการเชื่อมต่อ Solar PV (ปัจจุบัน):</w:t>
      </w:r>
      <w:r>
        <w:t xml:space="preserve"> </w:t>
      </w:r>
      <w:r>
        <w:t xml:space="preserve">- กลุ่มผู้ผลิตไฟขนาดเล็กมาก (VSPP): กำลังไม่เกิน 10 MW</w:t>
      </w:r>
      <w:r>
        <w:t xml:space="preserve"> </w:t>
      </w:r>
      <w:r>
        <w:t xml:space="preserve">- ต้องผ่านการรับรองมาตรฐาน IEC 61727 หรือ IEEE 1547</w:t>
      </w:r>
      <w:r>
        <w:t xml:space="preserve"> </w:t>
      </w:r>
      <w:r>
        <w:t xml:space="preserve">- ต้อง implement Anti-Islanding Protection ตาม IEEE 1547 / IEC 62116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หมายเหตุสำคัญ:</w:t>
      </w:r>
      <w:r>
        <w:t xml:space="preserve"> </w:t>
      </w:r>
      <w:r>
        <w:t xml:space="preserve">ข้อกำหนด Grid Code ของไทยมีการ revise อย่างต่อเนื่อง ผู้เขียนแนะนำให้ตรวจสอบเอกสารฉบับล่าสุดจาก:</w:t>
      </w:r>
      <w:r>
        <w:t xml:space="preserve"> </w:t>
      </w:r>
      <w:r>
        <w:t xml:space="preserve">-</w:t>
      </w:r>
      <w:r>
        <w:t xml:space="preserve"> </w:t>
      </w:r>
      <w:r>
        <w:t xml:space="preserve">“ข้อกำหนดการเชื่อมต่อระบบโครงข่ายไฟฟ้า”</w:t>
      </w:r>
      <w:r>
        <w:t xml:space="preserve"> </w:t>
      </w:r>
      <w:r>
        <w:t xml:space="preserve">ของ PEA (ฉบับล่าสุด: www.pea.co.th)</w:t>
      </w:r>
      <w:r>
        <w:t xml:space="preserve"> </w:t>
      </w:r>
      <w:r>
        <w:t xml:space="preserve">-</w:t>
      </w:r>
      <w:r>
        <w:t xml:space="preserve"> </w:t>
      </w:r>
      <w:r>
        <w:t xml:space="preserve">“Grid Code”</w:t>
      </w:r>
      <w:r>
        <w:t xml:space="preserve"> </w:t>
      </w:r>
      <w:r>
        <w:t xml:space="preserve">ของ MEA สำหรับผู้ผลิตไฟขนาดเล็กในเขตกรุงเทพฯ</w:t>
      </w:r>
      <w:r>
        <w:t xml:space="preserve"> </w:t>
      </w:r>
      <w:r>
        <w:t xml:space="preserve">- ระเบียบของ กกพ. (คณะกรรมการกำกับกิจการพลังงาน) ที่เกี่ยวกับการเชื่อมต่อ DER</w:t>
      </w:r>
    </w:p>
    <w:p>
      <w:pPr>
        <w:pStyle w:val="BlockText"/>
      </w:pPr>
      <w:r>
        <w:t xml:space="preserve">ผมจะไม่ยืนยันตัวเลขเฉพาะ (เช่น LVRT envelope ของไทย) ในที่นี้ เพราะอาจมีการเปลี่ยนแปลง และผมไม่ได้เข้าถึงเอกสาร grid code ฉบับจริง</w:t>
      </w:r>
    </w:p>
    <w:bookmarkEnd w:id="55"/>
    <w:bookmarkStart w:id="56" w:name="สรปขอกำหนดทเกยวของกบ-vsg-โดยตรง"/>
    <w:p>
      <w:pPr>
        <w:pStyle w:val="Heading3"/>
      </w:pPr>
      <w:r>
        <w:t xml:space="preserve">2.5.5 สรุปข้อกำหนดที่เกี่ยวข้องกับ VSG โดยตรง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ข้อกำหนด</w:t>
            </w:r>
          </w:p>
        </w:tc>
        <w:tc>
          <w:tcPr/>
          <w:p>
            <w:pPr>
              <w:pStyle w:val="Compact"/>
            </w:pPr>
            <w:r>
              <w:t xml:space="preserve">ค่ามาตรฐาน</w:t>
            </w:r>
          </w:p>
        </w:tc>
        <w:tc>
          <w:tcPr/>
          <w:p>
            <w:pPr>
              <w:pStyle w:val="Compact"/>
            </w:pPr>
            <w:r>
              <w:t xml:space="preserve">ผลต่อ VSG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RoCoF withstand</w:t>
            </w:r>
          </w:p>
        </w:tc>
        <w:tc>
          <w:tcPr/>
          <w:p>
            <w:pPr>
              <w:pStyle w:val="Compact"/>
            </w:pPr>
            <w:r>
              <w:t xml:space="preserve">≥ 1.0 Hz/s (Cat. III: 3.0 Hz/s)</w:t>
            </w:r>
          </w:p>
        </w:tc>
        <w:tc>
          <w:tcPr/>
          <w:p>
            <w:pPr>
              <w:pStyle w:val="Compact"/>
            </w:pPr>
            <w:r>
              <w:t xml:space="preserve">กำหนด minimum virtual inertia</w:t>
            </w:r>
            <w:r>
              <w:t xml:space="preserve"> </w:t>
            </w:r>
            <m:oMath>
              <m:r>
                <m:t>H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Frequency droop</w:t>
            </w:r>
          </w:p>
        </w:tc>
        <w:tc>
          <w:tcPr/>
          <w:p>
            <w:pPr>
              <w:pStyle w:val="Compact"/>
            </w:pPr>
            <w:r>
              <w:t xml:space="preserve">4–5%</w:t>
            </w:r>
          </w:p>
        </w:tc>
        <w:tc>
          <w:tcPr/>
          <w:p>
            <w:pPr>
              <w:pStyle w:val="Compact"/>
            </w:pPr>
            <w:r>
              <w:t xml:space="preserve">กำหนด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ใน VSG 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LVRT depth</w:t>
            </w:r>
          </w:p>
        </w:tc>
        <w:tc>
          <w:tcPr/>
          <w:p>
            <w:pPr>
              <w:pStyle w:val="Compact"/>
            </w:pPr>
            <w:r>
              <w:t xml:space="preserve">≥ 0.0 pu @ 150 ms</w:t>
            </w:r>
          </w:p>
        </w:tc>
        <w:tc>
          <w:tcPr/>
          <w:p>
            <w:pPr>
              <w:pStyle w:val="Compact"/>
            </w:pPr>
            <w:r>
              <w:t xml:space="preserve">ต้องมี current limiter ที่ทนได้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Reactive current support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2.0</m:t>
              </m:r>
            </m:oMath>
            <w:r>
              <w:t xml:space="preserve"> </w:t>
            </w:r>
            <w:r>
              <w:t xml:space="preserve">pu/pu</w:t>
            </w:r>
          </w:p>
        </w:tc>
        <w:tc>
          <w:tcPr/>
          <w:p>
            <w:pPr>
              <w:pStyle w:val="Compact"/>
            </w:pPr>
            <w:r>
              <w:t xml:space="preserve">กำหนด Q–V loop 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Anti-islanding</w:t>
            </w:r>
          </w:p>
        </w:tc>
        <w:tc>
          <w:tcPr/>
          <w:p>
            <w:pPr>
              <w:pStyle w:val="Compact"/>
            </w:pPr>
            <w:r>
              <w:t xml:space="preserve">IEEE 1547 / IEC 62116</w:t>
            </w:r>
          </w:p>
        </w:tc>
        <w:tc>
          <w:tcPr/>
          <w:p>
            <w:pPr>
              <w:pStyle w:val="Compact"/>
            </w:pPr>
            <w:r>
              <w:t xml:space="preserve">grid-connected mode detection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6" w:name="เอกสารอางอง-references"/>
    <w:p>
      <w:pPr>
        <w:pStyle w:val="Heading2"/>
      </w:pPr>
      <w:r>
        <w:t xml:space="preserve">เอกสารอ้างอิง (References)</w:t>
      </w:r>
    </w:p>
    <w:bookmarkStart w:id="58" w:name="Xd80f979dd433efd1b9af24cac999d2b9f25da7b"/>
    <w:p>
      <w:pPr>
        <w:pStyle w:val="Heading3"/>
      </w:pPr>
      <w:r>
        <w:t xml:space="preserve">Foundational Works (ที่อ้างใน Section 2.1, 2.2, 2.3)</w:t>
      </w:r>
    </w:p>
    <w:p>
      <w:pPr>
        <w:pStyle w:val="Compact"/>
        <w:numPr>
          <w:ilvl w:val="0"/>
          <w:numId w:val="1023"/>
        </w:numPr>
      </w:pPr>
      <w:r>
        <w:t xml:space="preserve">Beck, H.-P., &amp; Hesse, R. (2007).</w:t>
      </w:r>
      <w:r>
        <w:t xml:space="preserve"> </w:t>
      </w:r>
      <w:r>
        <w:rPr>
          <w:i/>
          <w:iCs/>
        </w:rPr>
        <w:t xml:space="preserve">Virtual synchronous machine</w:t>
      </w:r>
      <w:r>
        <w:t xml:space="preserve">. 9th International Conference on Electrical Power Quality and Utilisation (EPQU).</w:t>
      </w:r>
    </w:p>
    <w:p>
      <w:pPr>
        <w:pStyle w:val="Compact"/>
        <w:numPr>
          <w:ilvl w:val="0"/>
          <w:numId w:val="1023"/>
        </w:numPr>
      </w:pPr>
      <w:r>
        <w:t xml:space="preserve">Zhong, Q.-C., &amp; Weiss, G. (2011).</w:t>
      </w:r>
      <w:r>
        <w:t xml:space="preserve"> </w:t>
      </w:r>
      <w:r>
        <w:rPr>
          <w:i/>
          <w:iCs/>
        </w:rPr>
        <w:t xml:space="preserve">Synchronverters: Inverters that mimic synchronous generators</w:t>
      </w:r>
      <w:r>
        <w:t xml:space="preserve">. IEEE Transactions on Industrial Electronics, 58(4), 1259–1267.</w:t>
      </w:r>
    </w:p>
    <w:p>
      <w:pPr>
        <w:pStyle w:val="Compact"/>
        <w:numPr>
          <w:ilvl w:val="0"/>
          <w:numId w:val="1023"/>
        </w:numPr>
      </w:pPr>
      <w:r>
        <w:t xml:space="preserve">Rocabert, J., Luna, A., Blaabjerg, F., &amp; Rodríguez, P. (2012).</w:t>
      </w:r>
      <w:r>
        <w:t xml:space="preserve"> </w:t>
      </w:r>
      <w:r>
        <w:rPr>
          <w:i/>
          <w:iCs/>
        </w:rPr>
        <w:t xml:space="preserve">Control of power converters in AC microgrids</w:t>
      </w:r>
      <w:r>
        <w:t xml:space="preserve">. IEEE Transactions on Power Electronics, 27(11), 4734–4749.</w:t>
      </w:r>
    </w:p>
    <w:p>
      <w:pPr>
        <w:pStyle w:val="Compact"/>
        <w:numPr>
          <w:ilvl w:val="0"/>
          <w:numId w:val="1023"/>
        </w:numPr>
      </w:pPr>
      <w:r>
        <w:t xml:space="preserve">Driesen, J., &amp; Visscher, K. (2008).</w:t>
      </w:r>
      <w:r>
        <w:t xml:space="preserve"> </w:t>
      </w:r>
      <w:r>
        <w:rPr>
          <w:i/>
          <w:iCs/>
        </w:rPr>
        <w:t xml:space="preserve">Virtual synchronous generators</w:t>
      </w:r>
      <w:r>
        <w:t xml:space="preserve">. IEEE PES General Meeting.</w:t>
      </w:r>
    </w:p>
    <w:p>
      <w:pPr>
        <w:pStyle w:val="Compact"/>
        <w:numPr>
          <w:ilvl w:val="0"/>
          <w:numId w:val="1023"/>
        </w:numPr>
      </w:pPr>
      <w:r>
        <w:t xml:space="preserve">D’Arco, S., &amp; Suul, J. A. (2014).</w:t>
      </w:r>
      <w:r>
        <w:t xml:space="preserve"> </w:t>
      </w:r>
      <w:r>
        <w:rPr>
          <w:i/>
          <w:iCs/>
        </w:rPr>
        <w:t xml:space="preserve">Equivalence of virtual synchronous machines and frequency-droops for converter-based microgrids</w:t>
      </w:r>
      <w:r>
        <w:t xml:space="preserve">. IEEE Transactions on Smart Grid, 5(1), 394–395.</w:t>
      </w:r>
    </w:p>
    <w:p>
      <w:pPr>
        <w:pStyle w:val="Compact"/>
        <w:numPr>
          <w:ilvl w:val="0"/>
          <w:numId w:val="1023"/>
        </w:numPr>
      </w:pPr>
      <w:r>
        <w:t xml:space="preserve">Bevrani, H., Ise, T., &amp; Miura, Y. (2014).</w:t>
      </w:r>
      <w:r>
        <w:t xml:space="preserve"> </w:t>
      </w:r>
      <w:r>
        <w:rPr>
          <w:i/>
          <w:iCs/>
        </w:rPr>
        <w:t xml:space="preserve">Virtual synchronous generators: A survey and new perspectives</w:t>
      </w:r>
      <w:r>
        <w:t xml:space="preserve">. International Journal of Electrical Power &amp; Energy Systems, 54, 244–254.</w:t>
      </w:r>
    </w:p>
    <w:p>
      <w:pPr>
        <w:pStyle w:val="Compact"/>
        <w:numPr>
          <w:ilvl w:val="0"/>
          <w:numId w:val="1023"/>
        </w:numPr>
      </w:pPr>
      <w:r>
        <w:t xml:space="preserve">Tayyebi, A., Groß, D., Anta, A., Kupzog, F., &amp; Dörfler, F. (2020).</w:t>
      </w:r>
      <w:r>
        <w:t xml:space="preserve"> </w:t>
      </w:r>
      <w:r>
        <w:rPr>
          <w:i/>
          <w:iCs/>
        </w:rPr>
        <w:t xml:space="preserve">Frequency stability of synchronous machines and grid-forming power converters</w:t>
      </w:r>
      <w:r>
        <w:t xml:space="preserve">. IEEE Journal of Emerging and Selected Topics in Power Electronics, 8(2), 1004–1018.</w:t>
      </w:r>
    </w:p>
    <w:p>
      <w:pPr>
        <w:pStyle w:val="Compact"/>
        <w:numPr>
          <w:ilvl w:val="0"/>
          <w:numId w:val="1023"/>
        </w:numPr>
      </w:pPr>
      <w:r>
        <w:t xml:space="preserve">Alipoor, J., Miura, Y., &amp; Ise, T. (2015).</w:t>
      </w:r>
      <w:r>
        <w:t xml:space="preserve"> </w:t>
      </w:r>
      <w:r>
        <w:rPr>
          <w:i/>
          <w:iCs/>
        </w:rPr>
        <w:t xml:space="preserve">Power system stabilization using virtual synchronous generator with alternating moment of inertia</w:t>
      </w:r>
      <w:r>
        <w:t xml:space="preserve">. IEEE Journal of Emerging and Selected Topics in Power Electronics, 3(2), 451–458.</w:t>
      </w:r>
    </w:p>
    <w:p>
      <w:pPr>
        <w:pStyle w:val="Compact"/>
        <w:numPr>
          <w:ilvl w:val="0"/>
          <w:numId w:val="1023"/>
        </w:numPr>
      </w:pPr>
      <w:r>
        <w:t xml:space="preserve">Lasseter, R. H., Chen, Z., &amp; Pattabiraman, D. (2020).</w:t>
      </w:r>
      <w:r>
        <w:t xml:space="preserve"> </w:t>
      </w:r>
      <w:r>
        <w:rPr>
          <w:i/>
          <w:iCs/>
        </w:rPr>
        <w:t xml:space="preserve">Grid-forming inverters: A critical asset for the power grid</w:t>
      </w:r>
      <w:r>
        <w:t xml:space="preserve">. IEEE Journal of Emerging and Selected Topics in Power Electronics, 8(2), 925–935.</w:t>
      </w:r>
    </w:p>
    <w:bookmarkEnd w:id="58"/>
    <w:bookmarkStart w:id="64" w:name="reviewed-papers-section-2.4"/>
    <w:p>
      <w:pPr>
        <w:pStyle w:val="Heading3"/>
      </w:pPr>
      <w:r>
        <w:t xml:space="preserve">Reviewed Papers (Section 2.4)</w:t>
      </w:r>
    </w:p>
    <w:p>
      <w:pPr>
        <w:numPr>
          <w:ilvl w:val="0"/>
          <w:numId w:val="1024"/>
        </w:numPr>
      </w:pPr>
      <w:r>
        <w:t xml:space="preserve">Chang, G. W., &amp; Nguyen, K. T. (2023).</w:t>
      </w:r>
      <w:r>
        <w:t xml:space="preserve"> </w:t>
      </w:r>
      <w:r>
        <w:rPr>
          <w:i/>
          <w:iCs/>
        </w:rPr>
        <w:t xml:space="preserve">A New Adaptive Inertia-Based Virtual Synchronous Generator with Even Inverter Output Power Sharing in Islanded Microgrid</w:t>
      </w:r>
      <w:r>
        <w:t xml:space="preserve">.</w:t>
      </w:r>
      <w:r>
        <w:t xml:space="preserve"> </w:t>
      </w:r>
      <w:r>
        <w:rPr>
          <w:b/>
          <w:bCs/>
        </w:rPr>
        <w:t xml:space="preserve">IEEE Transactions on Industrial Electronics</w:t>
      </w:r>
      <w:r>
        <w:t xml:space="preserve">, vol. 71, no. 9, pp. 10693–10703. DOI:</w:t>
      </w:r>
      <w:r>
        <w:t xml:space="preserve"> </w:t>
      </w:r>
      <w:hyperlink r:id="rId59">
        <w:r>
          <w:rPr>
            <w:rStyle w:val="Hyperlink"/>
          </w:rPr>
          <w:t xml:space="preserve">10.1109/TIE.2023.3327515</w:t>
        </w:r>
      </w:hyperlink>
      <w:r>
        <w:t xml:space="preserve"> </w:t>
      </w:r>
      <w:r>
        <w:t xml:space="preserve">(IEEE Xplore #10329423)</w:t>
      </w:r>
    </w:p>
    <w:p>
      <w:pPr>
        <w:numPr>
          <w:ilvl w:val="0"/>
          <w:numId w:val="1024"/>
        </w:numPr>
      </w:pPr>
      <w:r>
        <w:t xml:space="preserve">Cherifi, A., Chouder, A., Kessal, A., Hadjkkadour, A., Aillane, A., &amp; Louassaa, K. (2022).</w:t>
      </w:r>
      <w:r>
        <w:t xml:space="preserve"> </w:t>
      </w:r>
      <w:r>
        <w:rPr>
          <w:i/>
          <w:iCs/>
        </w:rPr>
        <w:t xml:space="preserve">Control of Stand-Alone Inverter using Virtual Synchronous Generator</w:t>
      </w:r>
      <w:r>
        <w:t xml:space="preserve">.</w:t>
      </w:r>
      <w:r>
        <w:t xml:space="preserve"> </w:t>
      </w:r>
      <w:r>
        <w:rPr>
          <w:b/>
          <w:bCs/>
        </w:rPr>
        <w:t xml:space="preserve">2022 2nd International Conference of Advanced Technology in Electronic and Electrical Engineering (ICATEEE)</w:t>
      </w:r>
      <w:r>
        <w:t xml:space="preserve">, M’sila, Algeria, 26–27 Nov 2022. DOI:</w:t>
      </w:r>
      <w:r>
        <w:t xml:space="preserve"> </w:t>
      </w:r>
      <w:hyperlink r:id="rId60">
        <w:r>
          <w:rPr>
            <w:rStyle w:val="Hyperlink"/>
          </w:rPr>
          <w:t xml:space="preserve">10.1109/ICATEEE57445.2022.10093091</w:t>
        </w:r>
      </w:hyperlink>
      <w:r>
        <w:t xml:space="preserve"> </w:t>
      </w:r>
      <w:r>
        <w:t xml:space="preserve">(IEEE Xplore #10093091)</w:t>
      </w:r>
      <w:r>
        <w:t xml:space="preserve"> </w:t>
      </w:r>
      <w:r>
        <w:t xml:space="preserve">&gt; ⚠️</w:t>
      </w:r>
      <w:r>
        <w:t xml:space="preserve"> </w:t>
      </w:r>
      <w:r>
        <w:rPr>
          <w:b/>
          <w:bCs/>
        </w:rPr>
        <w:t xml:space="preserve">Verify spelling:</w:t>
      </w:r>
      <w:r>
        <w:t xml:space="preserve"> </w:t>
      </w:r>
      <w:r>
        <w:t xml:space="preserve">“Hadjkkadour”</w:t>
      </w:r>
      <w:r>
        <w:t xml:space="preserve"> </w:t>
      </w:r>
      <w:r>
        <w:t xml:space="preserve">จาก Semantic Scholar metadata — อาจเป็น</w:t>
      </w:r>
      <w:r>
        <w:t xml:space="preserve"> </w:t>
      </w:r>
      <w:r>
        <w:t xml:space="preserve">“Hadjkaddour”</w:t>
      </w:r>
      <w:r>
        <w:t xml:space="preserve"> </w:t>
      </w:r>
      <w:r>
        <w:t xml:space="preserve">ตรวจสอบกับ PDF first page</w:t>
      </w:r>
    </w:p>
    <w:p>
      <w:pPr>
        <w:numPr>
          <w:ilvl w:val="0"/>
          <w:numId w:val="1024"/>
        </w:numPr>
      </w:pPr>
      <w:r>
        <w:t xml:space="preserve">Choi, S., Heo, G.-S., &amp; Park, Y. (2025).</w:t>
      </w:r>
      <w:r>
        <w:t xml:space="preserve"> </w:t>
      </w:r>
      <w:r>
        <w:rPr>
          <w:i/>
          <w:iCs/>
        </w:rPr>
        <w:t xml:space="preserve">Utilization of a Disturbance Observer for Enhancing Robustness Against DC Biases in a Virtual Synchronous Generator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Hirase, Y., et al. (2022).</w:t>
      </w:r>
      <w:r>
        <w:t xml:space="preserve"> </w:t>
      </w:r>
      <w:r>
        <w:rPr>
          <w:i/>
          <w:iCs/>
        </w:rPr>
        <w:t xml:space="preserve">Field Demonstration of Parallel Operation of Virtual Synchronous Controlled Grid-Forming Inverters and a Diesel Synchronous Generator in a Microgrid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Rathnayake, D., Razzaghi, R., &amp; Bahrani, B. (2022).</w:t>
      </w:r>
      <w:r>
        <w:t xml:space="preserve"> </w:t>
      </w:r>
      <w:r>
        <w:rPr>
          <w:i/>
          <w:iCs/>
        </w:rPr>
        <w:t xml:space="preserve">Generalized Virtual Synchronous Generator Control Design for Renewable Power Systems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Chen, J., Liu, M., O’Loughlin, C., Milano, F., &amp; O’Donnell, T. (2018).</w:t>
      </w:r>
      <w:r>
        <w:t xml:space="preserve"> </w:t>
      </w:r>
      <w:r>
        <w:rPr>
          <w:i/>
          <w:iCs/>
        </w:rPr>
        <w:t xml:space="preserve">Modelling, Simulation and Hardware-in-the-Loop Validation of Virtual Synchronous Generator Control in Low Inertia Power System</w:t>
      </w:r>
      <w:r>
        <w:t xml:space="preserve">.</w:t>
      </w:r>
      <w:r>
        <w:t xml:space="preserve"> </w:t>
      </w:r>
      <w:r>
        <w:rPr>
          <w:b/>
          <w:bCs/>
        </w:rPr>
        <w:t xml:space="preserve">2018 Power Systems Computation Conference (PSCC)</w:t>
      </w:r>
      <w:r>
        <w:t xml:space="preserve">, Dublin, Ireland, 11–15 June 2018, pp. 1–7. DOI:</w:t>
      </w:r>
      <w:r>
        <w:t xml:space="preserve"> </w:t>
      </w:r>
      <w:hyperlink r:id="rId61">
        <w:r>
          <w:rPr>
            <w:rStyle w:val="Hyperlink"/>
          </w:rPr>
          <w:t xml:space="preserve">10.23919/PSCC.2018.8442998</w:t>
        </w:r>
      </w:hyperlink>
      <w:r>
        <w:t xml:space="preserve"> </w:t>
      </w:r>
      <w:r>
        <w:t xml:space="preserve">(IEEE Xplore #8442998)</w:t>
      </w:r>
    </w:p>
    <w:p>
      <w:pPr>
        <w:numPr>
          <w:ilvl w:val="0"/>
          <w:numId w:val="1024"/>
        </w:numPr>
      </w:pPr>
      <w:r>
        <w:t xml:space="preserve">Zhang, X., Dong, W., Gan, J., &amp; Yao, G. (2018).</w:t>
      </w:r>
      <w:r>
        <w:t xml:space="preserve"> </w:t>
      </w:r>
      <w:r>
        <w:rPr>
          <w:i/>
          <w:iCs/>
        </w:rPr>
        <w:t xml:space="preserve">Hardware in Loop Simulation Test of Photovoltaic Virtual Synchronous Generator</w:t>
      </w:r>
      <w:r>
        <w:t xml:space="preserve">.</w:t>
      </w:r>
      <w:r>
        <w:t xml:space="preserve"> </w:t>
      </w:r>
      <w:r>
        <w:rPr>
          <w:b/>
          <w:bCs/>
        </w:rPr>
        <w:t xml:space="preserve">2018 2nd IEEE Conference on Energy Internet and Energy System Integration (EI2)</w:t>
      </w:r>
      <w:r>
        <w:t xml:space="preserve">, Beijing, China, 20–22 Oct 2018, pp. 1–6. DOI:</w:t>
      </w:r>
      <w:r>
        <w:t xml:space="preserve"> </w:t>
      </w:r>
      <w:hyperlink r:id="rId62">
        <w:r>
          <w:rPr>
            <w:rStyle w:val="Hyperlink"/>
          </w:rPr>
          <w:t xml:space="preserve">10.1109/EI2.2018.8582262</w:t>
        </w:r>
      </w:hyperlink>
      <w:r>
        <w:t xml:space="preserve"> </w:t>
      </w:r>
      <w:r>
        <w:t xml:space="preserve">(IEEE Xplore #8582262)</w:t>
      </w:r>
      <w:r>
        <w:t xml:space="preserve"> </w:t>
      </w:r>
      <w:r>
        <w:t xml:space="preserve">&gt; ⚠️</w:t>
      </w:r>
      <w:r>
        <w:t xml:space="preserve"> </w:t>
      </w:r>
      <w:r>
        <w:rPr>
          <w:b/>
          <w:bCs/>
        </w:rPr>
        <w:t xml:space="preserve">Verify given names:</w:t>
      </w:r>
      <w:r>
        <w:t xml:space="preserve"> </w:t>
      </w:r>
      <w:r>
        <w:t xml:space="preserve">Surname + initial ยืนยันแล้ว แต่ given name เต็ม ๆ ควรตรวจสอบจาก PDF first page</w:t>
      </w:r>
    </w:p>
    <w:p>
      <w:pPr>
        <w:numPr>
          <w:ilvl w:val="0"/>
          <w:numId w:val="1024"/>
        </w:numPr>
      </w:pPr>
      <w:r>
        <w:t xml:space="preserve">Huang, M., Zhang, H., Wang, K., Yao, Z., &amp; Wu, W. (2025).</w:t>
      </w:r>
      <w:r>
        <w:t xml:space="preserve"> </w:t>
      </w:r>
      <w:r>
        <w:rPr>
          <w:i/>
          <w:iCs/>
        </w:rPr>
        <w:t xml:space="preserve">Model-Free Predictive Control Based on RLS Algorithm for Grid-Forming Inverters With Virtual Synchronous Generator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Karapanos, V., de Haan, S. W. H., &amp; Zwetsloot, K. H. (2011).</w:t>
      </w:r>
      <w:r>
        <w:t xml:space="preserve"> </w:t>
      </w:r>
      <w:r>
        <w:rPr>
          <w:i/>
          <w:iCs/>
        </w:rPr>
        <w:t xml:space="preserve">Real time simulation of a power system with VSG hardware in the loop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Ibrahim, A. M., Rafin, S. M. S. H., &amp; Mohammed, O. A. (2025).</w:t>
      </w:r>
      <w:r>
        <w:t xml:space="preserve"> </w:t>
      </w:r>
      <w:r>
        <w:rPr>
          <w:i/>
          <w:iCs/>
        </w:rPr>
        <w:t xml:space="preserve">Evaluation of Virtual Synchronous Generator and Droop Control in Microgrids Using Real-Time Hardware-in-the-Loop for Inverter-Based Resources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Uddin, S. M. M., Heidari, R., Braslavsky, J., &amp; Mohy-Ud-Din, G. (2024).</w:t>
      </w:r>
      <w:r>
        <w:t xml:space="preserve"> </w:t>
      </w:r>
      <w:r>
        <w:rPr>
          <w:i/>
          <w:iCs/>
        </w:rPr>
        <w:t xml:space="preserve">Modelling and Design of Virtual Synchronous Generator Control for Back-to-Back Inverter Testing in Renewable Energy Systems</w:t>
      </w:r>
      <w:r>
        <w:t xml:space="preserve">.</w:t>
      </w:r>
      <w:r>
        <w:t xml:space="preserve"> </w:t>
      </w:r>
      <w:r>
        <w:rPr>
          <w:b/>
          <w:bCs/>
        </w:rPr>
        <w:t xml:space="preserve">2024 IEEE 34th Australasian Universities Power Engineering Conference (AUPEC)</w:t>
      </w:r>
      <w:r>
        <w:t xml:space="preserve">, Sydney, Australia, Nov 2024. DOI:</w:t>
      </w:r>
      <w:r>
        <w:t xml:space="preserve"> </w:t>
      </w:r>
      <w:hyperlink r:id="rId63">
        <w:r>
          <w:rPr>
            <w:rStyle w:val="Hyperlink"/>
          </w:rPr>
          <w:t xml:space="preserve">10.1109/AUPEC62273.2024.10807621</w:t>
        </w:r>
      </w:hyperlink>
      <w:r>
        <w:t xml:space="preserve"> </w:t>
      </w:r>
      <w:r>
        <w:t xml:space="preserve">(IEEE Xplore #10807621)</w:t>
      </w:r>
    </w:p>
    <w:p>
      <w:pPr>
        <w:numPr>
          <w:ilvl w:val="0"/>
          <w:numId w:val="1024"/>
        </w:numPr>
      </w:pPr>
      <w:r>
        <w:t xml:space="preserve">Wang, J., Liu, Z., Shi, Y., &amp; Liu, J. (2023).</w:t>
      </w:r>
      <w:r>
        <w:t xml:space="preserve"> </w:t>
      </w:r>
      <w:r>
        <w:rPr>
          <w:i/>
          <w:iCs/>
        </w:rPr>
        <w:t xml:space="preserve">A Full Comparison between Droop Control and Virtual Synchronous Generator Control Considering Reactive Power Dynamics in Grid-Forming Inverters</w:t>
      </w:r>
      <w:r>
        <w:t xml:space="preserve">.</w:t>
      </w:r>
    </w:p>
    <w:bookmarkEnd w:id="64"/>
    <w:bookmarkStart w:id="65" w:name="standards"/>
    <w:p>
      <w:pPr>
        <w:pStyle w:val="Heading3"/>
      </w:pPr>
      <w:r>
        <w:t xml:space="preserve">Standards</w:t>
      </w:r>
    </w:p>
    <w:p>
      <w:pPr>
        <w:pStyle w:val="Compact"/>
        <w:numPr>
          <w:ilvl w:val="0"/>
          <w:numId w:val="1025"/>
        </w:numPr>
      </w:pPr>
      <w:r>
        <w:t xml:space="preserve">IEEE Std 1547-2018.</w:t>
      </w:r>
      <w:r>
        <w:t xml:space="preserve"> </w:t>
      </w:r>
      <w:r>
        <w:rPr>
          <w:i/>
          <w:iCs/>
        </w:rPr>
        <w:t xml:space="preserve">Standard for Interconnection and Interoperability of Distributed Energy Resources with Associated Electric Power Systems Interfaces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IEEE Std 2988 (under development).</w:t>
      </w:r>
      <w:r>
        <w:t xml:space="preserve"> </w:t>
      </w:r>
      <w:r>
        <w:rPr>
          <w:i/>
          <w:iCs/>
        </w:rPr>
        <w:t xml:space="preserve">Recommended Practice for Virtual Synchronous Generators (VSG) Connected to AC Grid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IEC 61727.</w:t>
      </w:r>
      <w:r>
        <w:t xml:space="preserve"> </w:t>
      </w:r>
      <w:r>
        <w:rPr>
          <w:i/>
          <w:iCs/>
        </w:rPr>
        <w:t xml:space="preserve">Photovoltaic (PV) systems – Characteristics of the utility interface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IEC 62116.</w:t>
      </w:r>
      <w:r>
        <w:t xml:space="preserve"> </w:t>
      </w:r>
      <w:r>
        <w:rPr>
          <w:i/>
          <w:iCs/>
        </w:rPr>
        <w:t xml:space="preserve">Utility-interconnected photovoltaic inverters – Test procedure of islanding prevention measures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Action required (สำหรับ final submission):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Paper 2 (Cherifi et al., 2022):</w:t>
      </w:r>
      <w:r>
        <w:t xml:space="preserve"> </w:t>
      </w:r>
      <w:r>
        <w:t xml:space="preserve">ตรวจสอบการสะกด</w:t>
      </w:r>
      <w:r>
        <w:t xml:space="preserve"> </w:t>
      </w:r>
      <w:r>
        <w:t xml:space="preserve">“Hadjkkadour”</w:t>
      </w:r>
      <w:r>
        <w:t xml:space="preserve"> </w:t>
      </w:r>
      <w:r>
        <w:t xml:space="preserve">กับ PDF first page (อาจเป็น</w:t>
      </w:r>
      <w:r>
        <w:t xml:space="preserve"> </w:t>
      </w:r>
      <w:r>
        <w:t xml:space="preserve">“Hadjkaddour”</w:t>
      </w:r>
      <w: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Paper 7 (Zhang et al., 2018):</w:t>
      </w:r>
      <w:r>
        <w:t xml:space="preserve"> </w:t>
      </w:r>
      <w:r>
        <w:t xml:space="preserve">ยืนยัน given name เต็มของผู้แต่งทั้ง 4 คน (X. Zhang, W. Dong, J. Gan, G. Yao) จาก PDF first page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IEEE Std 2988:</w:t>
      </w:r>
      <w:r>
        <w:t xml:space="preserve"> </w:t>
      </w:r>
      <w:r>
        <w:t xml:space="preserve">ตรวจสอบสถานะ ณ ปัจจุบัน (under development หรือ finalized แล้ว) ก่อนอ้างใน Section 2.4.2 (Paper 4) และ Section 2.5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End of Chapter 2 Draft v1 —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cs="TH Sarabun New" w:eastAsia="TH Sarabun New" w:hAnsi="TH Sarabun New"/>
        <w:sz w:val="32"/>
        <w:szCs w:val="32"/>
        <w:lang w:bidi="th-TH" w:eastAsia="th-TH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3" Target="https://doi.org/10.1109/AUPEC62273.2024.10807621" TargetMode="External" /><Relationship Type="http://schemas.openxmlformats.org/officeDocument/2006/relationships/hyperlink" Id="rId62" Target="https://doi.org/10.1109/EI2.2018.8582262" TargetMode="External" /><Relationship Type="http://schemas.openxmlformats.org/officeDocument/2006/relationships/hyperlink" Id="rId60" Target="https://doi.org/10.1109/ICATEEE57445.2022.10093091" TargetMode="External" /><Relationship Type="http://schemas.openxmlformats.org/officeDocument/2006/relationships/hyperlink" Id="rId59" Target="https://doi.org/10.1109/TIE.2023.3327515" TargetMode="External" /><Relationship Type="http://schemas.openxmlformats.org/officeDocument/2006/relationships/hyperlink" Id="rId61" Target="https://doi.org/10.23919/PSCC.2018.844299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doi.org/10.1109/AUPEC62273.2024.10807621" TargetMode="External" /><Relationship Type="http://schemas.openxmlformats.org/officeDocument/2006/relationships/hyperlink" Id="rId62" Target="https://doi.org/10.1109/EI2.2018.8582262" TargetMode="External" /><Relationship Type="http://schemas.openxmlformats.org/officeDocument/2006/relationships/hyperlink" Id="rId60" Target="https://doi.org/10.1109/ICATEEE57445.2022.10093091" TargetMode="External" /><Relationship Type="http://schemas.openxmlformats.org/officeDocument/2006/relationships/hyperlink" Id="rId59" Target="https://doi.org/10.1109/TIE.2023.3327515" TargetMode="External" /><Relationship Type="http://schemas.openxmlformats.org/officeDocument/2006/relationships/hyperlink" Id="rId61" Target="https://doi.org/10.23919/PSCC.2018.844299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2026-05-14T03:10:54Z</dcterms:created>
  <dcterms:modified xsi:type="dcterms:W3CDTF">2026-05-14T03:10:54Z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