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บทท-3-วธดำเนนงานและการออกแบบ"/>
    <w:p>
      <w:pPr>
        <w:pStyle w:val="Heading1"/>
      </w:pPr>
      <w:r>
        <w:t xml:space="preserve">บทที่ 3: วิธีดำเนินงานและการออกแบบ</w:t>
      </w:r>
    </w:p>
    <w:bookmarkEnd w:id="9"/>
    <w:bookmarkStart w:id="23" w:name="methodology-system-design"/>
    <w:p>
      <w:pPr>
        <w:pStyle w:val="Heading1"/>
      </w:pPr>
      <w:r>
        <w:t xml:space="preserve">(Methodology &amp; System Design)</w:t>
      </w:r>
    </w:p>
    <w:p>
      <w:pPr>
        <w:pStyle w:val="BlockText"/>
      </w:pPr>
      <w:r>
        <w:rPr>
          <w:b/>
          <w:bCs/>
        </w:rPr>
        <w:t xml:space="preserve">ผู้เขียน:</w:t>
      </w:r>
      <w:r>
        <w:t xml:space="preserve"> </w:t>
      </w:r>
      <w:r>
        <w:t xml:space="preserve">ชินวัตร ดุมกลาง (Napoleon)</w:t>
      </w:r>
      <w:r>
        <w:t xml:space="preserve"> </w:t>
      </w:r>
      <w:r>
        <w:rPr>
          <w:b/>
          <w:bCs/>
        </w:rPr>
        <w:t xml:space="preserve">โครงงาน:</w:t>
      </w:r>
      <w:r>
        <w:t xml:space="preserve"> </w:t>
      </w:r>
      <w:r>
        <w:t xml:space="preserve">Virtual Synchronous Generator (VSG) for Grid-Connected Inverter</w:t>
      </w:r>
      <w:r>
        <w:t xml:space="preserve"> </w:t>
      </w:r>
      <w:r>
        <w:rPr>
          <w:b/>
          <w:bCs/>
        </w:rPr>
        <w:t xml:space="preserve">สถานะ:</w:t>
      </w:r>
      <w:r>
        <w:t xml:space="preserve"> </w:t>
      </w:r>
      <w:r>
        <w:t xml:space="preserve">Draft v1 — เรียบเรียงใหม่จาก docx เดิม, แก้ heading hierarchy, เติม section 3.3.1 ที่ขาดหาย, แยก primary (ESP32 + 24 V/100 VA) ออกจาก contingency (C2000 + 48 V/GaN) อย่างชัดเจน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ในการดำเนินโครงงานพัฒนาระบบเครื่องกำเนิดไฟฟ้าซิงโครนัสเสมือน (VSG) ควบคุมด้วยไมโครคอนโทรลเลอร์ ESP32 ขนาดพิกัด 100 VA นี้ ผู้ดำเนินโครงงานได้แบ่งขอบเขตและขั้นตอนการเตรียมอุปกรณ์และการดำเนินงานออกเป็นสามส่วนหลัก ได้แก่ (1) รายการวัสดุและอุปกรณ์ที่ใช้ในระบบหลัก, (2) ขั้นตอนการดำเนินงานวิจัย 6 ระยะ และ (3) แผนสำรองสถาปัตยกรรมประสิทธิภาพสูงสำหรับกรณีที่ระบบหลักไม่เพียงพอ</w:t>
      </w:r>
    </w:p>
    <w:p>
      <w:r>
        <w:pict>
          <v:rect style="width:0;height:1.5pt" o:hralign="center" o:hrstd="t" o:hr="t"/>
        </w:pict>
      </w:r>
    </w:p>
    <w:bookmarkStart w:id="11" w:name="รายการวสดและอปกรณทคาดวาจะใช"/>
    <w:p>
      <w:pPr>
        <w:pStyle w:val="Heading2"/>
      </w:pPr>
      <w:r>
        <w:t xml:space="preserve">3.1 รายการวัสดุและอุปกรณ์ที่คาดว่าจะใช้</w:t>
      </w:r>
    </w:p>
    <w:bookmarkStart w:id="10" w:name="expected-materials-and-equipment-list"/>
    <w:p>
      <w:pPr>
        <w:pStyle w:val="Heading3"/>
      </w:pPr>
      <w:r>
        <w:t xml:space="preserve">(Expected Materials and Equipment List)</w:t>
      </w:r>
    </w:p>
    <w:p>
      <w:pPr>
        <w:pStyle w:val="FirstParagraph"/>
      </w:pPr>
      <w:r>
        <w:t xml:space="preserve">เพื่อรองรับการจัดสร้างต้นแบบระดับแรงดันต่ำที่ปลอดภัยสำหรับการทดลองในห้องปฏิบัติการ (24 V DC Bus, 100 VA) ผู้ดำเนินโครงงานได้กำหนดรายละเอียดของรายการชิ้นส่วนและเครื่องมือวัดที่คาดว่าจะใช้ในการดำเนินงาน ดังแสดงในตารางที่ 3.1</w:t>
      </w:r>
    </w:p>
    <w:p>
      <w:pPr>
        <w:pStyle w:val="BodyText"/>
      </w:pPr>
      <w:r>
        <w:rPr>
          <w:b/>
          <w:bCs/>
        </w:rPr>
        <w:t xml:space="preserve">ตารางที่ 3.1</w:t>
      </w:r>
      <w:r>
        <w:t xml:space="preserve"> </w:t>
      </w:r>
      <w:r>
        <w:t xml:space="preserve">รายการวัสดุและอุปกรณ์สำหรับระบบควบคุมหลัก (ESP32, 24 V / 100 VA)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</w:pPr>
            <w:r>
              <w:t xml:space="preserve">รายการอุปกรณ์ / วัสดุ</w:t>
            </w:r>
          </w:p>
        </w:tc>
        <w:tc>
          <w:tcPr/>
          <w:p>
            <w:pPr>
              <w:pStyle w:val="Compact"/>
            </w:pPr>
            <w:r>
              <w:t xml:space="preserve">รหัสพาร์ทชิ้นส่วน / ข้อมูลจำเพาะ</w:t>
            </w:r>
          </w:p>
        </w:tc>
        <w:tc>
          <w:tcPr/>
          <w:p>
            <w:pPr>
              <w:pStyle w:val="Compact"/>
            </w:pPr>
            <w:r>
              <w:t xml:space="preserve">หน้าที่และขอบเขตการใช้งาน</w:t>
            </w:r>
          </w:p>
        </w:tc>
        <w:tc>
          <w:tcPr/>
          <w:p>
            <w:pPr>
              <w:pStyle w:val="Compact"/>
            </w:pPr>
            <w:r>
              <w:t xml:space="preserve">จำนวน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บอร์ดประมวลผลหลัก</w:t>
            </w:r>
          </w:p>
        </w:tc>
        <w:tc>
          <w:tcPr/>
          <w:p>
            <w:pPr>
              <w:pStyle w:val="Compact"/>
            </w:pPr>
            <w:r>
              <w:t xml:space="preserve">ESP32-WROOM-32D</w:t>
            </w:r>
          </w:p>
        </w:tc>
        <w:tc>
          <w:tcPr/>
          <w:p>
            <w:pPr>
              <w:pStyle w:val="Compact"/>
            </w:pPr>
            <w:r>
              <w:t xml:space="preserve">ประมวลผลอัลกอริทึมควบคุม VSG และสร้างสัญญาณ 3-Phase PWM</w:t>
            </w:r>
          </w:p>
        </w:tc>
        <w:tc>
          <w:tcPr/>
          <w:p>
            <w:pPr>
              <w:pStyle w:val="Compact"/>
            </w:pPr>
            <w:r>
              <w:t xml:space="preserve">1 บอร์ด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บอร์ดกำลังอินเวอร์เตอร์ 3 เฟส</w:t>
            </w:r>
          </w:p>
        </w:tc>
        <w:tc>
          <w:tcPr/>
          <w:p>
            <w:pPr>
              <w:pStyle w:val="Compact"/>
            </w:pPr>
            <w:r>
              <w:t xml:space="preserve">SimpleFOC / DRV8302 Shield</w:t>
            </w:r>
          </w:p>
        </w:tc>
        <w:tc>
          <w:tcPr/>
          <w:p>
            <w:pPr>
              <w:pStyle w:val="Compact"/>
            </w:pPr>
            <w:r>
              <w:t xml:space="preserve">สวิตชิ่งกำลัง (Inverter Bridge) แปลงระดับแรงดัน DC เป็น AC</w:t>
            </w:r>
          </w:p>
        </w:tc>
        <w:tc>
          <w:tcPr/>
          <w:p>
            <w:pPr>
              <w:pStyle w:val="Compact"/>
            </w:pPr>
            <w:r>
              <w:t xml:space="preserve">1 บอร์ด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บอร์ดแปลงสัญญาณอนาล็อก</w:t>
            </w:r>
          </w:p>
        </w:tc>
        <w:tc>
          <w:tcPr/>
          <w:p>
            <w:pPr>
              <w:pStyle w:val="Compact"/>
            </w:pPr>
            <w:r>
              <w:t xml:space="preserve">โมดูลภายนอกชิป AD7606</w:t>
            </w:r>
          </w:p>
        </w:tc>
        <w:tc>
          <w:tcPr/>
          <w:p>
            <w:pPr>
              <w:pStyle w:val="Compact"/>
            </w:pPr>
            <w:r>
              <w:t xml:space="preserve">แปลงสัญญาณกระแสและแรงดันเอาต์พุตพร้อมกัน 16-Bit ADC</w:t>
            </w:r>
          </w:p>
        </w:tc>
        <w:tc>
          <w:tcPr/>
          <w:p>
            <w:pPr>
              <w:pStyle w:val="Compact"/>
            </w:pPr>
            <w:r>
              <w:t xml:space="preserve">1 บอร์ด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เซ็นเซอร์อ่านกระแสไฟฟ้ารายเฟส</w:t>
            </w:r>
          </w:p>
        </w:tc>
        <w:tc>
          <w:tcPr/>
          <w:p>
            <w:pPr>
              <w:pStyle w:val="Compact"/>
            </w:pPr>
            <w:r>
              <w:t xml:space="preserve">ACS712-05B (ย่านวัด ±5 A)</w:t>
            </w:r>
          </w:p>
        </w:tc>
        <w:tc>
          <w:tcPr/>
          <w:p>
            <w:pPr>
              <w:pStyle w:val="Compact"/>
            </w:pPr>
            <w:r>
              <w:t xml:space="preserve">ตรวจวัดระดับกระแสเอาต์พุต AC แต่ละเฟสเพื่อใช้ประมวลผลลูปกระแส</w:t>
            </w:r>
          </w:p>
        </w:tc>
        <w:tc>
          <w:tcPr/>
          <w:p>
            <w:pPr>
              <w:pStyle w:val="Compact"/>
            </w:pPr>
            <w:r>
              <w:t xml:space="preserve">3 ตัว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ตัวเหนี่ยวนำวงจรกรอง (AC Filter)</w:t>
            </w:r>
          </w:p>
        </w:tc>
        <w:tc>
          <w:tcPr/>
          <w:p>
            <w:pPr>
              <w:pStyle w:val="Compact"/>
            </w:pPr>
            <w:r>
              <w:t xml:space="preserve">1.5 mH, ทนกระแส ≥ 5 A, แกน Sendust</w:t>
            </w:r>
          </w:p>
        </w:tc>
        <w:tc>
          <w:tcPr/>
          <w:p>
            <w:pPr>
              <w:pStyle w:val="Compact"/>
            </w:pPr>
            <w:r>
              <w:t xml:space="preserve">อุปกรณ์ตัวกรองฮาร์มอนิกฝั่งเอาต์พุต (</w:t>
            </w:r>
            <m:oMath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 ตัว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ตัวเก็บประจุวงจรกรอง (AC Filter)</w:t>
            </w:r>
          </w:p>
        </w:tc>
        <w:tc>
          <w:tcPr/>
          <w:p>
            <w:pPr>
              <w:pStyle w:val="Compact"/>
            </w:pPr>
            <w:r>
              <w:t xml:space="preserve">15 µF AC Polypropylene</w:t>
            </w:r>
          </w:p>
        </w:tc>
        <w:tc>
          <w:tcPr/>
          <w:p>
            <w:pPr>
              <w:pStyle w:val="Compact"/>
            </w:pPr>
            <w:r>
              <w:t xml:space="preserve">อุปกรณ์ตัวกรองฮาร์มอนิกฝั่งเอาต์พุต (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) ต่อขนาน 2 ตัวต่อเฟส</w:t>
            </w:r>
          </w:p>
        </w:tc>
        <w:tc>
          <w:tcPr/>
          <w:p>
            <w:pPr>
              <w:pStyle w:val="Compact"/>
            </w:pPr>
            <w:r>
              <w:t xml:space="preserve">6 ตัว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ตัวต้านทานจำกัดสั่นพ้องสะท้อน</w:t>
            </w:r>
          </w:p>
        </w:tc>
        <w:tc>
          <w:tcPr/>
          <w:p>
            <w:pPr>
              <w:pStyle w:val="Compact"/>
            </w:pPr>
            <w:r>
              <w:t xml:space="preserve">1 Ω, 25 W ตัวถังอลูมิเนียม</w:t>
            </w:r>
          </w:p>
        </w:tc>
        <w:tc>
          <w:tcPr/>
          <w:p>
            <w:pPr>
              <w:pStyle w:val="Compact"/>
            </w:pPr>
            <w:r>
              <w:t xml:space="preserve">ต่ออนุกรมกับตัวเก็บประจุฟิลเตอร์เพื่อช่วยหน่วงเสถียรภาพ (</w:t>
            </w: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 ตัว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ชุดอุปกรณ์วัดแปรแรงดันไฟฟ้า</w:t>
            </w:r>
          </w:p>
        </w:tc>
        <w:tc>
          <w:tcPr/>
          <w:p>
            <w:pPr>
              <w:pStyle w:val="Compact"/>
            </w:pPr>
            <w:r>
              <w:t xml:space="preserve">ตัวต้านทานฟิล์มโลหะคลาดเคลื่อน 0.1%</w:t>
            </w:r>
          </w:p>
        </w:tc>
        <w:tc>
          <w:tcPr/>
          <w:p>
            <w:pPr>
              <w:pStyle w:val="Compact"/>
            </w:pPr>
            <w:r>
              <w:t xml:space="preserve">วงจรแบ่งแรงดัน (Voltage Divider) เพื่อลดทอนแรงดัน AC ก่อนเข้า ADC</w:t>
            </w:r>
          </w:p>
        </w:tc>
        <w:tc>
          <w:tcPr/>
          <w:p>
            <w:pPr>
              <w:pStyle w:val="Compact"/>
            </w:pPr>
            <w:r>
              <w:t xml:space="preserve">1 ชุด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ชุดแบตเตอรี่สำรองบัสตรง</w:t>
            </w:r>
          </w:p>
        </w:tc>
        <w:tc>
          <w:tcPr/>
          <w:p>
            <w:pPr>
              <w:pStyle w:val="Compact"/>
            </w:pPr>
            <w:r>
              <w:t xml:space="preserve">LiFePO4 Battery 24 V, 10 Ah</w:t>
            </w:r>
          </w:p>
        </w:tc>
        <w:tc>
          <w:tcPr/>
          <w:p>
            <w:pPr>
              <w:pStyle w:val="Compact"/>
            </w:pPr>
            <w:r>
              <w:t xml:space="preserve">บัฟเฟอร์ดูดซับพลังงานไฟฟ้าไหลย้อนกลับขณะโหลดเปลี่ยนแปลง</w:t>
            </w:r>
          </w:p>
        </w:tc>
        <w:tc>
          <w:tcPr/>
          <w:p>
            <w:pPr>
              <w:pStyle w:val="Compact"/>
            </w:pPr>
            <w:r>
              <w:t xml:space="preserve">1 ชุด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แหล่งจ่ายกำลังไฟฟ้ากระแสตรง</w:t>
            </w:r>
          </w:p>
        </w:tc>
        <w:tc>
          <w:tcPr/>
          <w:p>
            <w:pPr>
              <w:pStyle w:val="Compact"/>
            </w:pPr>
            <w:r>
              <w:t xml:space="preserve">DC Power Supply (0–60 V, 5 A)</w:t>
            </w:r>
          </w:p>
        </w:tc>
        <w:tc>
          <w:tcPr/>
          <w:p>
            <w:pPr>
              <w:pStyle w:val="Compact"/>
            </w:pPr>
            <w:r>
              <w:t xml:space="preserve">แหล่งจ่ายพลังงานกระแสตรงหลักฝั่งป้อนเข้าอินเวอร์เตอร์</w:t>
            </w:r>
          </w:p>
        </w:tc>
        <w:tc>
          <w:tcPr/>
          <w:p>
            <w:pPr>
              <w:pStyle w:val="Compact"/>
            </w:pPr>
            <w:r>
              <w:t xml:space="preserve">1 เครื่อง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ระบบโหลดไฟฟ้ากระแสสลับ</w:t>
            </w:r>
          </w:p>
        </w:tc>
        <w:tc>
          <w:tcPr/>
          <w:p>
            <w:pPr>
              <w:pStyle w:val="Compact"/>
            </w:pPr>
            <w:r>
              <w:t xml:space="preserve">Slide Rheostat (0–100 Ω, 200 W)</w:t>
            </w:r>
          </w:p>
        </w:tc>
        <w:tc>
          <w:tcPr/>
          <w:p>
            <w:pPr>
              <w:pStyle w:val="Compact"/>
            </w:pPr>
            <w:r>
              <w:t xml:space="preserve">โหลดต้านทานแบบปรับค่าได้ ต่อแบบสตาร์ (Balanced-Y Load)</w:t>
            </w:r>
          </w:p>
        </w:tc>
        <w:tc>
          <w:tcPr/>
          <w:p>
            <w:pPr>
              <w:pStyle w:val="Compact"/>
            </w:pPr>
            <w:r>
              <w:t xml:space="preserve">3 ตัว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4" w:name="ขนตอนการดำเนนงานวจย"/>
    <w:p>
      <w:pPr>
        <w:pStyle w:val="Heading2"/>
      </w:pPr>
      <w:r>
        <w:t xml:space="preserve">3.2 ขั้นตอนการดำเนินงานวิจัย</w:t>
      </w:r>
    </w:p>
    <w:bookmarkStart w:id="12" w:name="research-methodology-workflow"/>
    <w:p>
      <w:pPr>
        <w:pStyle w:val="Heading3"/>
      </w:pPr>
      <w:r>
        <w:t xml:space="preserve">(Research Methodology Workflow)</w:t>
      </w:r>
    </w:p>
    <w:p>
      <w:pPr>
        <w:pStyle w:val="FirstParagraph"/>
      </w:pPr>
      <w:r>
        <w:t xml:space="preserve">แผนผังขั้นตอนการดำเนินงานวิจัยที่เสนอแบ่งออกเป็น 6 ระยะหลัก เริ่มตั้งแต่การศึกษาทฤษฎีไปจนถึงการวิเคราะห์สรุปผล เพื่อให้การพัฒนาโครงงานเป็นระบบและสามารถติดตามความก้าวหน้าได้จริง ดังแสดงในรูปที่ 3.1</w:t>
      </w:r>
    </w:p>
    <w:p>
      <w:pPr>
        <w:pStyle w:val="BlockText"/>
      </w:pPr>
      <w:r>
        <w:rPr>
          <w:b/>
          <w:bCs/>
        </w:rPr>
        <w:t xml:space="preserve">[TODO: รูปที่ 3.1 — แผนผังขั้นตอนการดำเนินงานวิจัย 6 ระยะ]</w:t>
      </w:r>
      <w:r>
        <w:t xml:space="preserve"> </w:t>
      </w:r>
      <w:r>
        <w:rPr>
          <w:i/>
          <w:iCs/>
        </w:rPr>
        <w:t xml:space="preserve">(สร้าง flowchart ใหม่ด้วย draw.io หรือ Visio แล้ว insert เป็นรูป)</w:t>
      </w:r>
    </w:p>
    <w:bookmarkEnd w:id="12"/>
    <w:bookmarkStart w:id="13" w:name="รายละเอยดขนตอนการดำเนนงานวจย"/>
    <w:p>
      <w:pPr>
        <w:pStyle w:val="Heading3"/>
      </w:pPr>
      <w:r>
        <w:t xml:space="preserve">3.2.1 รายละเอียดขั้นตอนการดำเนินงานวิจัย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ศึกษาทฤษฎีและเอกสารที่เกี่ยวข้อง</w:t>
      </w:r>
      <w:r>
        <w:t xml:space="preserve"> </w:t>
      </w:r>
      <w:r>
        <w:t xml:space="preserve">รวบรวมทฤษฎีโครงสร้างอินเวอร์เตอร์เลียนแบบพฤติกรรมเครื่องกำเนิดไฟฟ้าซิงโครนัส การคำนวณสเกลพารามิเตอร์ไร้มิติเพื่อรักษารูปแบบพลวัต รวมถึงการวิจัยวิธีการวางผังระบบกราวด์เพื่อลดสัญญาณรบกวน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การจำลองสถานการณ์บนซอฟต์แวร์</w:t>
      </w:r>
      <w:r>
        <w:t xml:space="preserve"> </w:t>
      </w:r>
      <w:r>
        <w:t xml:space="preserve">ใช้โปรแกรม MATLAB/Simulink เพื่อทดสอบอัลกอริทึมการคำนวณสมการสวิงในลูปนอก และทดสอบความเสถียรของลูปควบคุมกระแสและแรงดันภายใน (Cascaded Control) ก่อนนำพารามิเตอร์ไปใช้กับระบบจริง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การออกแบบระบบฮาร์ดแวร์และวงจรวัด</w:t>
      </w:r>
      <w:r>
        <w:t xml:space="preserve"> </w:t>
      </w:r>
      <w:r>
        <w:t xml:space="preserve">จัดเตรียมและสร้างจุดต่อสายสัญญาณ คัดสรรอุปกรณ์ฟิลเตอร์ทางไฟฟ้า และเตรียมวงจรตรวจจับสัญญาณไฟฟ้าที่มีพิกัดแรงดันปลอดภัย ที่สามารถเชื่อมโยงและตอบรับกับ ESP32 และ AD7606 ได้สมบูรณ์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การพัฒนาเฟิร์มแวร์ควบคุมบน ESP32</w:t>
      </w:r>
      <w:r>
        <w:t xml:space="preserve"> </w:t>
      </w:r>
      <w:r>
        <w:t xml:space="preserve">เขียนโปรแกรมดิจิทัลคอนโทรลเลอร์ที่ทำงานภายในฟังก์ชัน Interrupt Service Routine (ISR) ที่ความถี่ 10 kHz พร้อมใส่ฟังก์ชันป้องกันกระแสเกินทางซอฟต์แวร์ และการเริ่มเดินระบบแบบ Soft-Start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การประกอบและทดสอบกับฮาร์ดแวร์จริง</w:t>
      </w:r>
      <w:r>
        <w:t xml:space="preserve"> </w:t>
      </w:r>
      <w:r>
        <w:t xml:space="preserve">เริ่มการประจุไฟฟ้าเข้าระบบอย่างช้า ๆ และทำการทดสอบเพิ่ม-ลดโหลด 3 เฟส เพื่อจับพลวัตความถี่ (</w:t>
      </w:r>
      <m:oMath>
        <m:r>
          <m:t>ω</m:t>
        </m:r>
      </m:oMath>
      <w:r>
        <w:t xml:space="preserve">) และแอมพลิจูดแรงดัน (</w:t>
      </w:r>
      <m:oMath>
        <m:r>
          <m:t>E</m:t>
        </m:r>
      </m:oMath>
      <w:r>
        <w:t xml:space="preserve">) ว่ามีการแกว่งและหน่วงตัวเลียนแบบเครื่องกำเนิดไฟฟ้าจริงและสอดคล้องกับผลแบบจำลองหรือไม่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วิเคราะห์ผลการทดลองและเขียนรายงาน</w:t>
      </w:r>
      <w:r>
        <w:t xml:space="preserve"> </w:t>
      </w:r>
      <w:r>
        <w:t xml:space="preserve">รวบรวมข้อมูล วิเคราะห์เปรียบเทียบความถูกต้องของพลวัตระหว่างผลจำลองและผลจริง และจัดพิมพ์เล่มรายงานฉบับสมบูรณ์สำหรับโครงงานวิศวกรรมไฟฟ้า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Xbdb4196396a3fc84a4776f6f2d299071d807863"/>
    <w:p>
      <w:pPr>
        <w:pStyle w:val="Heading2"/>
      </w:pPr>
      <w:r>
        <w:t xml:space="preserve">3.3 แผนการออกแบบฮาร์ดแวร์ระบบควบคุมและภาคกำลังสำรองประสิทธิภาพสูง</w:t>
      </w:r>
    </w:p>
    <w:bookmarkStart w:id="15" w:name="X2cc521bad69111ee52524d977ac3107435dbd7e"/>
    <w:p>
      <w:pPr>
        <w:pStyle w:val="Heading3"/>
      </w:pPr>
      <w:r>
        <w:t xml:space="preserve">(High-Performance Alternative Architecture — Contingency Plan)</w:t>
      </w:r>
    </w:p>
    <w:p>
      <w:pPr>
        <w:pStyle w:val="FirstParagraph"/>
      </w:pPr>
      <w:r>
        <w:t xml:space="preserve">เพื่อเป็นการเตรียมความพร้อมในกรณีที่ตัวประมวลผลหลัก ESP32 มีประสิทธิภาพไม่เพียงพอต่อการรันลูปควบคุมความถี่สูงระดับ 10 kHz หรือระบบมีความล่าช้าในการสุ่มสัญญาณ ผู้ดำเนินโครงงานได้ออกแบบ</w:t>
      </w:r>
      <w:r>
        <w:t xml:space="preserve"> </w:t>
      </w:r>
      <w:r>
        <w:rPr>
          <w:i/>
          <w:iCs/>
        </w:rPr>
        <w:t xml:space="preserve">แผนสถาปัตยกรรมฮาร์ดแวร์สำรองประสิทธิภาพสูง</w:t>
      </w:r>
      <w:r>
        <w:t xml:space="preserve"> </w:t>
      </w:r>
      <w:r>
        <w:t xml:space="preserve">โดยเปลี่ยนมาใช้ระบบประมวลผลสัญญาณดิจิทัลระดับอุตสาหกรรมร่วมกับภาคกำลังเทคโนโลยีสารกึ่งตัวนำรุ่นใหม่ (GaN)</w:t>
      </w:r>
    </w:p>
    <w:p>
      <w:pPr>
        <w:pStyle w:val="BlockText"/>
      </w:pPr>
      <w:r>
        <w:rPr>
          <w:b/>
          <w:bCs/>
        </w:rPr>
        <w:t xml:space="preserve">หมายเหตุขอบเขต:</w:t>
      </w:r>
      <w:r>
        <w:t xml:space="preserve"> </w:t>
      </w:r>
      <w:r>
        <w:t xml:space="preserve">แผนในหัวข้อ 3.3 นี้เป็นเพียง</w:t>
      </w:r>
      <w:r>
        <w:t xml:space="preserve"> </w:t>
      </w:r>
      <w:r>
        <w:rPr>
          <w:i/>
          <w:iCs/>
        </w:rPr>
        <w:t xml:space="preserve">แผนสำรอง (contingency plan)</w:t>
      </w:r>
      <w:r>
        <w:t xml:space="preserve"> </w:t>
      </w:r>
      <w:r>
        <w:t xml:space="preserve">ที่จะถูกนำมาใช้เฉพาะกรณีที่ ESP32 ไม่ผ่านเกณฑ์ในระยะที่ 5 ของหัวข้อ 3.2.1 เท่านั้น ขอบเขตหลักของโครงงาน (DC Bus ≤ 60 V, กำลังไม่เกิน 300 W ตามหัวข้อ 1.3) จะถูกรักษาไว้ในทั้งสองสถาปัตยกรรม โดยพิกัดของแผนสำรองนี้ (DC 48 V, GaN 60 V, LiFePO4 48 V) อยู่ในขอบเขตเดิม</w:t>
      </w:r>
    </w:p>
    <w:bookmarkEnd w:id="15"/>
    <w:bookmarkStart w:id="16" w:name="องคประกอบของสถาปตยกรรมสำรอง"/>
    <w:p>
      <w:pPr>
        <w:pStyle w:val="Heading3"/>
      </w:pPr>
      <w:r>
        <w:t xml:space="preserve">3.3.1 องค์ประกอบของสถาปัตยกรรมสำรอง</w:t>
      </w:r>
    </w:p>
    <w:p>
      <w:pPr>
        <w:pStyle w:val="FirstParagraph"/>
      </w:pPr>
      <w:r>
        <w:t xml:space="preserve">สถาปัตยกรรมสำรองประกอบด้วย 4 ส่วนหลักดังต่อไปนี้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ส่วนควบคุมหลัก (The Brain: Controller Stage)</w:t>
      </w:r>
      <w:r>
        <w:t xml:space="preserve"> </w:t>
      </w:r>
      <w:r>
        <w:t xml:space="preserve">บอร์ดไมโครคอนโทรลเลอร์ประมวลผลสัญญาณดิจิทัลประสิทธิภาพสูง Texas Instruments C2000 LaunchPad (รุ่น LAUNCHXL-F28379D) ทำหน้าที่รับค่าแรงดันและกระแสไฟฟ้าป้อนกลับมาประมวลผลสมการ Swing Equation และคำนวณการควบคุมแบบ Grid-Forming จากนั้นส่งสัญญาณ EPWM (3.3 V) ไปขับภาคกำลังไฟฟ้า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ส่วนภาคกำลังไฟฟ้า (The Muscles: Power Inverter Stage)</w:t>
      </w:r>
      <w:r>
        <w:t xml:space="preserve"> </w:t>
      </w:r>
      <w:r>
        <w:t xml:space="preserve">โมดูลกำลังไฟฟ้าอินเวอร์เตอร์ 3 เฟส เทคโนโลยีแกลเลียมไนไตรด์ GaN Inverter (รุ่น BOOSTXL-3PHGANINV) รองรับระดับแรงดันกระแสตรงสูงสุด 60 V ทำหน้าที่สวิตชิ่งแปลงกำลังไฟฟ้าจาก DC เป็น AC มีข้อดีเรื่องการสูญเสียจากการสวิตชิ่งต่ำมาก (Ultra-low switching losses) และมีวงจร Gate Driver และเซ็นเซอร์วัดกระแสฝั่งเอาต์พุตติดตั้งมาให้ในตัวพร้อมใช้งาน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ส่วนระบบกักเก็บพลังงาน (The Energy Storage)</w:t>
      </w:r>
      <w:r>
        <w:t xml:space="preserve"> </w:t>
      </w:r>
      <w:r>
        <w:t xml:space="preserve">ระบบกักเก็บพลังงานชุดแบตเตอรี่ LiFePO4 พิกัดแรงดันไฟฟ้า 48 V (ความจุประมาณ 10–20 Ah) ทำหน้าที่จ่ายกำลังไฟฟ้ากระแสตรงหลักให้กับระบบจำลองแรงเฉื่อยและโหลด โดยติดตั้งระบบบริหารจัดการแบตเตอรี่อัจฉริยะ Smart BMS (แบรนด์ Daly) ขนานเข้าไปเพื่อเพิ่มความปลอดภัยจากการไหลของกระแสไฟและแรงดันเกินพิกัด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ส่วนกรองสัญญาณและระบบความปลอดภัยฝั่งกระแสสลับ (The Filters &amp; Safety Devices)</w:t>
      </w:r>
      <w:r>
        <w:t xml:space="preserve"> </w:t>
      </w:r>
      <w:r>
        <w:t xml:space="preserve">วงจรกรองกระแสเอาต์พุต AC (LC/LCL Filter) ทำหน้าที่ลดทอนคลื่นสัญญาณรูปพัลส์เหลี่ยมสวิตชิ่งความถี่สูงให้เป็นรูปคลื่นไซน์ที่มีความเที่ยงตรงสูงก่อนจ่ายให้แก่โหลดภายนอก พร้อมระบบตัดตอนกระแสตรง DC Circuit Breaker (16–20 A) สำหรับเปิด-ปิดระบบไฟฟ้าหลัก และหัวเชื่อมต่อสัมผัสทนกระแสสูงประเภท XT90 เพื่อเชื่อมโยงสายไฟกำลังสูงอย่างปลอดภัย</w:t>
      </w:r>
    </w:p>
    <w:bookmarkEnd w:id="16"/>
    <w:bookmarkStart w:id="18" w:name="X5a42e3c5daf946dbeecf79a947729c0f0299806"/>
    <w:p>
      <w:pPr>
        <w:pStyle w:val="Heading3"/>
      </w:pPr>
      <w:r>
        <w:t xml:space="preserve">3.3.2 แผนการเปรียบเทียบและประเมินระบบประมวลผลทางเลือก</w:t>
      </w:r>
    </w:p>
    <w:bookmarkStart w:id="17" w:name="controller-hardware-contingency-plan"/>
    <w:p>
      <w:pPr>
        <w:pStyle w:val="Heading4"/>
      </w:pPr>
      <w:r>
        <w:t xml:space="preserve">(Controller Hardware Contingency Plan)</w:t>
      </w:r>
    </w:p>
    <w:p>
      <w:pPr>
        <w:pStyle w:val="FirstParagraph"/>
      </w:pPr>
      <w:r>
        <w:t xml:space="preserve">เนื่องจากไมโครคอนโทรลเลอร์ ESP32 เป็นชิปประมวลผลเอนกประสงค์ที่ไม่ได้ถูกออกแบบมาสำหรับงานควบคุมอิเล็กทรอนิกส์กำลังโดยเฉพาะ หากในระหว่างขั้นตอนการทดสอบฮาร์ดแวร์จริงพบปัญหาและข้อจำกัดทางเทคนิค เช่น ปัญหา Jitter ของเวลาจริง (real-time jitter) หรือความล่าช้าจากการคำนวณเลขทศนิยม ผู้ดำเนินโครงงานได้กำหนดแผนสำรองโดยพิจารณาเปลี่ยนไปใช้ชิปประมวลผลสัญญาณดิจิทัลอุตสาหกรรมในตระกูล Texas Instruments C2000 LaunchPad เป็นตัวควบคุมหลักทดแทน โดยมีข้อเปรียบเทียบเชิงวิศวกรรมดังแสดงในตารางที่ 3.2</w:t>
      </w:r>
    </w:p>
    <w:p>
      <w:pPr>
        <w:pStyle w:val="BodyText"/>
      </w:pPr>
      <w:r>
        <w:rPr>
          <w:b/>
          <w:bCs/>
        </w:rPr>
        <w:t xml:space="preserve">ตารางที่ 3.2</w:t>
      </w:r>
      <w:r>
        <w:t xml:space="preserve"> </w:t>
      </w:r>
      <w:r>
        <w:t xml:space="preserve">การเปรียบเทียบเชิงวิศวกรรมระหว่างบอร์ดควบคุมหลัก (ESP32) และบอร์ดควบคุมสำรอง (TI C2000)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คุณลักษณะทางเทคนิค</w:t>
            </w:r>
          </w:p>
        </w:tc>
        <w:tc>
          <w:tcPr/>
          <w:p>
            <w:pPr>
              <w:pStyle w:val="Compact"/>
            </w:pPr>
            <w:r>
              <w:t xml:space="preserve">บอร์ดควบคุมหลัก (ESP32)</w:t>
            </w:r>
          </w:p>
        </w:tc>
        <w:tc>
          <w:tcPr/>
          <w:p>
            <w:pPr>
              <w:pStyle w:val="Compact"/>
            </w:pPr>
            <w:r>
              <w:t xml:space="preserve">บอร์ดควบคุมสำรอง (TI C2000)</w:t>
            </w:r>
          </w:p>
        </w:tc>
        <w:tc>
          <w:tcPr/>
          <w:p>
            <w:pPr>
              <w:pStyle w:val="Compact"/>
            </w:pPr>
            <w:r>
              <w:t xml:space="preserve">ผลกระทบต่อการออกแบบระบบต้นแบบ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โครงสร้างหน่วยประมวลผล</w:t>
            </w:r>
          </w:p>
        </w:tc>
        <w:tc>
          <w:tcPr/>
          <w:p>
            <w:pPr>
              <w:pStyle w:val="Compact"/>
            </w:pPr>
            <w:r>
              <w:t xml:space="preserve">Dual Core Xtensa LX6 (240 MHz)</w:t>
            </w:r>
          </w:p>
        </w:tc>
        <w:tc>
          <w:tcPr/>
          <w:p>
            <w:pPr>
              <w:pStyle w:val="Compact"/>
            </w:pPr>
            <w:r>
              <w:t xml:space="preserve">C28x DSP Co-Processor (100–200 MHz)</w:t>
            </w:r>
          </w:p>
        </w:tc>
        <w:tc>
          <w:tcPr/>
          <w:p>
            <w:pPr>
              <w:pStyle w:val="Compact"/>
            </w:pPr>
            <w:r>
              <w:t xml:space="preserve">TI C2000 มีสถาปัตยกรรม DSP ออกแบบมาเพื่อลูปควบคุมกำลังไฟความเร็วสูงโดยเฉพาะ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หน่วยประมวลผลเฉพาะทาง</w:t>
            </w:r>
          </w:p>
        </w:tc>
        <w:tc>
          <w:tcPr/>
          <w:p>
            <w:pPr>
              <w:pStyle w:val="Compact"/>
            </w:pPr>
            <w:r>
              <w:t xml:space="preserve">FPU (Float Unit) ทั่วไป</w:t>
            </w:r>
          </w:p>
        </w:tc>
        <w:tc>
          <w:tcPr/>
          <w:p>
            <w:pPr>
              <w:pStyle w:val="Compact"/>
            </w:pPr>
            <w:r>
              <w:t xml:space="preserve">TMU (Trigonometric Math Unit) ในตัว</w:t>
            </w:r>
          </w:p>
        </w:tc>
        <w:tc>
          <w:tcPr/>
          <w:p>
            <w:pPr>
              <w:pStyle w:val="Compact"/>
            </w:pPr>
            <w:r>
              <w:t xml:space="preserve">TI C2000 สามารถคำนวณฟังก์ชันตรีโกณมิติสำหรับ Park/Clarke Transform ได้ในระดับไม่กี่คาบนาฬิกา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ตัวแปลงสัญญาณอนาล็อก (ADC)</w:t>
            </w:r>
          </w:p>
        </w:tc>
        <w:tc>
          <w:tcPr/>
          <w:p>
            <w:pPr>
              <w:pStyle w:val="Compact"/>
            </w:pPr>
            <w:r>
              <w:t xml:space="preserve">12-Bit (Sequential / Non-linear)</w:t>
            </w:r>
          </w:p>
        </w:tc>
        <w:tc>
          <w:tcPr/>
          <w:p>
            <w:pPr>
              <w:pStyle w:val="Compact"/>
            </w:pPr>
            <w:r>
              <w:t xml:space="preserve">12-Bit หรือ 16-Bit (True Simultaneous Sampling)</w:t>
            </w:r>
          </w:p>
        </w:tc>
        <w:tc>
          <w:tcPr/>
          <w:p>
            <w:pPr>
              <w:pStyle w:val="Compact"/>
            </w:pPr>
            <w:r>
              <w:t xml:space="preserve">หากใช้ TI C2000 จะขจัดโมดูลแปลงสัญญาณภายนอก AD7606 ออกได้ เนื่องจากมี ADC สุ่มพร้อมกันความเร็วสูงในตัว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โมดูลควบคุมสัญญาณ PWM</w:t>
            </w:r>
          </w:p>
        </w:tc>
        <w:tc>
          <w:tcPr/>
          <w:p>
            <w:pPr>
              <w:pStyle w:val="Compact"/>
            </w:pPr>
            <w:r>
              <w:t xml:space="preserve">MCPWM (Hardware)</w:t>
            </w:r>
          </w:p>
        </w:tc>
        <w:tc>
          <w:tcPr/>
          <w:p>
            <w:pPr>
              <w:pStyle w:val="Compact"/>
            </w:pPr>
            <w:r>
              <w:t xml:space="preserve">EPWM (Enhanced PWM) + HRPWM (High-Resolution)</w:t>
            </w:r>
          </w:p>
        </w:tc>
        <w:tc>
          <w:tcPr/>
          <w:p>
            <w:pPr>
              <w:pStyle w:val="Compact"/>
            </w:pPr>
            <w:r>
              <w:t xml:space="preserve">TI C2000 มีระบบป้องกันระดับฮาร์ดแวร์และการสร้าง Dead-time ที่ความละเอียดระดับนาโนวินาที ปลอดภัยต่อ MOSFET สูง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ซอฟต์แวร์และเครื่องมือพัฒนา</w:t>
            </w:r>
          </w:p>
        </w:tc>
        <w:tc>
          <w:tcPr/>
          <w:p>
            <w:pPr>
              <w:pStyle w:val="Compact"/>
            </w:pPr>
            <w:r>
              <w:t xml:space="preserve">Arduino IDE / ESP-IDF (C/C++)</w:t>
            </w:r>
          </w:p>
        </w:tc>
        <w:tc>
          <w:tcPr/>
          <w:p>
            <w:pPr>
              <w:pStyle w:val="Compact"/>
            </w:pPr>
            <w:r>
              <w:t xml:space="preserve">Code Composer Studio (CCS) / MATLAB</w:t>
            </w:r>
          </w:p>
        </w:tc>
        <w:tc>
          <w:tcPr/>
          <w:p>
            <w:pPr>
              <w:pStyle w:val="Compact"/>
            </w:pPr>
            <w:r>
              <w:t xml:space="preserve">TI C2000 รองรับการแปลงโค้ดจากโมเดล MATLAB/Simulink ออกบอร์ดได้โดยตรง ช่วยลดข้อผิดพลาดในการเขียนลูปควบคุม</w:t>
            </w:r>
          </w:p>
        </w:tc>
      </w:tr>
    </w:tbl>
    <w:bookmarkEnd w:id="17"/>
    <w:bookmarkEnd w:id="18"/>
    <w:bookmarkStart w:id="20" w:name="เกณฑการตดสนใจเปลยนสถาปตยกรรม"/>
    <w:p>
      <w:pPr>
        <w:pStyle w:val="Heading3"/>
      </w:pPr>
      <w:r>
        <w:t xml:space="preserve">3.3.3 เกณฑ์การตัดสินใจเปลี่ยนสถาปัตยกรรม</w:t>
      </w:r>
    </w:p>
    <w:bookmarkStart w:id="19" w:name="X2fc4369c034596aa95e044386b88cc17e140fce"/>
    <w:p>
      <w:pPr>
        <w:pStyle w:val="Heading4"/>
      </w:pPr>
      <w:r>
        <w:t xml:space="preserve">(Decision Criteria for Architecture Switch)</w:t>
      </w:r>
    </w:p>
    <w:p>
      <w:pPr>
        <w:pStyle w:val="FirstParagraph"/>
      </w:pPr>
      <w:r>
        <w:t xml:space="preserve">ผู้ดำเนินโครงงานกำหนดเกณฑ์เชิงปริมาณสำหรับการตัดสินใจเปลี่ยนจากระบบหลัก (ESP32) ไปใช้ระบบสำรอง (C2000 + GaN) ดังนี้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เกณฑ์ที่ 1 — Loop Jitter:</w:t>
      </w:r>
      <w:r>
        <w:t xml:space="preserve"> </w:t>
      </w:r>
      <w:r>
        <w:t xml:space="preserve">หากค่า jitter ของ ISR ที่ 10 kHz เกิน ±5 µs ภายใต้สภาวะโหลดเต็มกำลัง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เกณฑ์ที่ 2 — Computation Latency:</w:t>
      </w:r>
      <w:r>
        <w:t xml:space="preserve"> </w:t>
      </w:r>
      <w:r>
        <w:t xml:space="preserve">หากเวลาประมวลผล Park/Clarke Transform + Swing Equation รวมกันเกิน 50 µs ต่อ ISR cycle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เกณฑ์ที่ 3 — ADC Synchronization:</w:t>
      </w:r>
      <w:r>
        <w:t xml:space="preserve"> </w:t>
      </w:r>
      <w:r>
        <w:t xml:space="preserve">หากการสุ่มสัญญาณกระแส 3 เฟสไม่สามารถทำได้แบบ simultaneous sampling จน lead-lag error เกิน 2° ทางไฟฟ้า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เกณฑ์ที่ 4 — Switching Loss:</w:t>
      </w:r>
      <w:r>
        <w:t xml:space="preserve"> </w:t>
      </w:r>
      <w:r>
        <w:t xml:space="preserve">หากการสูญเสียจากการสวิตชิ่งของ MOSFET ในบอร์ด DRV8302 ทำให้อุณหภูมิเกิน 80 °C ที่กำลัง 100 VA</w:t>
      </w:r>
    </w:p>
    <w:p>
      <w:pPr>
        <w:pStyle w:val="FirstParagraph"/>
      </w:pPr>
      <w:r>
        <w:t xml:space="preserve">หากเกณฑ์ใดเกณฑ์หนึ่งใน 4 ข้อข้างต้นไม่ผ่าน คณะผู้ดำเนินโครงงานจะดำเนินการตามแผนสำรองในหัวข้อ 3.3.1 ทันที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2" w:name="สรปทายบท"/>
    <w:p>
      <w:pPr>
        <w:pStyle w:val="Heading2"/>
      </w:pPr>
      <w:r>
        <w:t xml:space="preserve">สรุปท้ายบท</w:t>
      </w:r>
    </w:p>
    <w:p>
      <w:pPr>
        <w:pStyle w:val="FirstParagraph"/>
      </w:pPr>
      <w:r>
        <w:t xml:space="preserve">บทที่ 3 นี้ได้กำหนด (1) รายการวัสดุและอุปกรณ์สำหรับระบบหลัก ESP32 + 24 V / 100 VA, (2) ขั้นตอนการดำเนินงาน 6 ระยะตั้งแต่ศึกษาทฤษฎีถึงเขียนรายงาน และ (3) แผนสำรองสถาปัตยกรรม C2000 + GaN + LiFePO4 48 V พร้อมเกณฑ์การตัดสินใจเชิงปริมาณสำหรับการเปลี่ยนสถาปัตยกรรม ผลการดำเนินงานจริงและการทดลองในแต่ละระยะจะถูกนำเสนอในบทที่ 4 ต่อไป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2026-05-25T04:02:44Z</dcterms:created>
  <dcterms:modified xsi:type="dcterms:W3CDTF">2026-05-25T04:02:44Z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