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3-วธดำเนนงานและการออกแบบ"/>
    <w:p>
      <w:pPr>
        <w:pStyle w:val="Title"/>
        <w:widowControl/>
      </w:pPr>
      <w:r>
        <w:t xml:space="preserve">บทที่ 3: วิธีดำเนินงานและการออกแบบ</w:t>
      </w:r>
    </w:p>
    <w:bookmarkEnd w:id="9"/>
    <w:bookmarkStart w:id="15" w:name="methodology-system-design"/>
    <w:p>
      <w:pPr>
        <w:pStyle w:val="Heading1"/>
        <w:widowControl/>
      </w:pPr>
      <w:r>
        <w:t xml:space="preserve">(Methodology &amp; System Design)</w:t>
      </w:r>
    </w:p>
    <w:p>
      <w:pPr>
        <w:pStyle w:val="BlockText"/>
        <w:widowControl/>
      </w:pPr>
      <w:r>
        <w:rPr>
          <w:b/>
          <w:bCs/>
        </w:rPr>
        <w:t xml:space="preserve">ผู้เขียน:</w:t>
      </w:r>
      <w:r>
        <w:t xml:space="preserve"> </w:t>
      </w:r>
      <w:r>
        <w:t xml:space="preserve">ชินวัตร ดุมกลาง (Napoleon)</w:t>
      </w:r>
      <w:r>
        <w:t xml:space="preserve"> </w:t>
      </w:r>
      <w:r>
        <w:rPr>
          <w:b/>
          <w:bCs/>
        </w:rPr>
        <w:t xml:space="preserve">โครงงาน:</w:t>
      </w:r>
      <w:r>
        <w:t xml:space="preserve"> </w:t>
      </w:r>
      <w:r>
        <w:t xml:space="preserve">Virtual Synchronous Generator (VSG) for Inverter Control</w:t>
      </w:r>
      <w:r>
        <w:t xml:space="preserve"> </w:t>
      </w:r>
      <w:r>
        <w:rPr>
          <w:b/>
          <w:bCs/>
        </w:rPr>
        <w:t xml:space="preserve">สถานะ:</w:t>
      </w:r>
      <w:r>
        <w:t xml:space="preserve"> </w:t>
      </w:r>
      <w:r>
        <w:t xml:space="preserve">ฉบับทบทวน 2026-10-20 — baseline 40 V / 100 W; การตรวจรับฮาร์ดแวร์ยังไม่เสร็จ</w:t>
      </w:r>
    </w:p>
    <w:p>
      <w:pPr>
        <w:pStyle w:val="FirstParagraph"/>
        <w:widowControl/>
      </w:pPr>
      <w:r>
        <w:t xml:space="preserve">บทนี้นำเสนอวิธีพัฒนาระบบ VSG ควบคุมด้วย ESP32 ในโหมด grid-forming / islanded สำหรับโหลดสามเฟส โดยเชื่อมการวิเคราะห์ แบบจำลอง และเฟิร์มแวร์เข้ากับแผนทดสอบจริง ผลจำลองสนับสนุนพฤติกรรมเฉพาะกรณีที่ทดสอบ ไม่รับประกันพฤติกรรมของฮาร์ดแวร์ก่อนตรวจวงจรและวัดจริง</w:t>
      </w:r>
    </w:p>
    <w:p>
      <w:pPr>
        <w:pStyle w:val="BodyText"/>
        <w:widowControl/>
      </w:pPr>
      <w:r>
        <w:t xml:space="preserve">เอกสารอ้างอิงจุดออกแบบปัจจุบัน:</w:t>
      </w:r>
      <w:r>
        <w:t xml:space="preserve"> </w:t>
      </w:r>
      <w:r>
        <w:rPr>
          <w:rStyle w:val="VerbatimChar"/>
        </w:rPr>
        <w:t xml:space="preserve">D:\workspace\engineering\vsg-project\docs\notes\design_baseline.md</w:t>
      </w:r>
    </w:p>
    <w:p>
      <w:pPr>
        <w:pStyle w:val="BodyText"/>
        <w:widowControl/>
      </w:pPr>
      <w:r>
        <w:t xml:space="preserve">ข้อกำหนด shutdown และหลักฐานตรวจรับ:</w:t>
      </w:r>
      <w:r>
        <w:t xml:space="preserve"> </w:t>
      </w:r>
      <w:r>
        <w:rPr>
          <w:rStyle w:val="VerbatimChar"/>
        </w:rPr>
        <w:t xml:space="preserve">D:\workspace\engineering\vsg-project\docs\notes\hardware_shutdown_and_bench_plan.md</w:t>
      </w:r>
    </w:p>
    <w:bookmarkStart w:id="10" w:name="ภาพรวมและจดออกแบบ"/>
    <w:p>
      <w:pPr>
        <w:pStyle w:val="Heading2"/>
        <w:widowControl/>
      </w:pPr>
      <w:r>
        <w:t xml:space="preserve">3.1 ภาพรวมและจุดออกแบบ</w:t>
      </w:r>
    </w:p>
    <w:p>
      <w:pPr>
        <w:pStyle w:val="FirstParagraph"/>
        <w:widowControl/>
      </w:pPr>
      <w:r>
        <w:t xml:space="preserve">ระบบกำหนดความถี่และแรงดันให้โหลดอิสระ ไม่เชื่อมกับกริดสาธารณูปโภค ภาคกำลังหลักคือ MOSFET IRF540N กับ IR2104 แบบ bootstrap non-isolated; DRV8302 เป็นทางเลือกที่ยังต้อง qualify โมดูลจริง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3.1</w:t>
      </w:r>
      <w:r>
        <w:t xml:space="preserve"> </w:t>
      </w:r>
      <w:r>
        <w:t xml:space="preserve">จุดออกแบบปัจจุบัน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พารามิเตอร์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ขอบเขตการตีความ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DC bus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40 V nominal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ต้องทดสอบ finite-source และช่วงแรงดันใช้งาน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แรงดันเฟส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14 V peak = 9.8995 V RMS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แรงดันสาย 17.1464 V RMS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กำลัง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100 W nominal; ฐานวิเคราะห์ 100 VA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ยังไม่ใช่ measured thermal rating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ความถี่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50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omega_s = 314.159 rad/s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Lf / Rf ต่อเฟส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1.2 mH / 0.05 Ω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ต้องวัด saturation และ loss ของชิ้นส่วนจริง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Cf / Rd ต่อเฟส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 µF / 1 Ω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Rd อนุกรม Cf; resonance ประมาณ 1453 Hz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PWM / control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 kHz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ต้องวัด carrier, phase alignment และ deadline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H / D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 s / 0.5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D คูณ deviation หน่วย rad/s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Rp / Rq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0.05 / 0.05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effective P-f slope รวมประมาณ 0.565%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ADC / current sensor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AD7606 / ACS712-20A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 qualify module straps และ calibrate</w:t>
            </w:r>
          </w:p>
        </w:tc>
      </w:tr>
    </w:tbl>
    <w:p>
      <w:pPr>
        <w:pStyle w:val="BodyText"/>
        <w:widowControl/>
      </w:pPr>
      <w:r>
        <w:t xml:space="preserve">ที่ nominal DC bus ได้ modulation index m = 14/(40/2) = 0.70; ยังต้องตรวจ instantaneous inverter reference และ saturation เมื่อมีโหลด/ทรานเซียนต์ ผล Stage 5a เดิมที่ 24/48 V เก็บเป็นประวัติในบทที่ 4 ไม่ใช่คำสั่งสร้างวงจรปัจจุบัน</w:t>
      </w:r>
    </w:p>
    <w:bookmarkEnd w:id="10"/>
    <w:bookmarkStart w:id="11" w:name="รายการวสดและการจดซอ"/>
    <w:p>
      <w:pPr>
        <w:pStyle w:val="Heading2"/>
        <w:widowControl/>
      </w:pPr>
      <w:r>
        <w:t xml:space="preserve">3.2 รายการวัสดุและการจัดซื้อ</w:t>
      </w:r>
    </w:p>
    <w:p>
      <w:pPr>
        <w:pStyle w:val="FirstParagraph"/>
        <w:widowControl/>
      </w:pPr>
      <w:r>
        <w:t xml:space="preserve">งบ 7,200 บาทและราคาในร่างวันที่ 2026-05-30 เป็นกรอบวางแผนเดิม ไม่ใช่ใบเสนอราคาปัจจุบัน รายการ shutdown, auxiliary supply และ BESS interface ต้องกำหนดให้ชัดก่อนรวมงบใหม่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3.2</w:t>
      </w:r>
      <w:r>
        <w:t xml:space="preserve"> </w:t>
      </w:r>
      <w:r>
        <w:t xml:space="preserve">รายการหลักและสถานะ qualification (ราคาเดิมเป็น historical estimates วันที่ 2026-05-30)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รายการ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จำนวนวางแผน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ราคาเดิม (บาท)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สิ่งที่ต้องตรวจเพิ่ม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ESP32-WROOM-32 รวมสำรอง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บอร์ดจริง, GPIO และ timing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IRF540N รวมสำรอง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250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Switching overshoot, loss, heatsink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IR2104 รวมสำรอง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150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Supply, bootstrap, dead-time และ shutdown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Bootstrap diode/cap/gate resistor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 ชุด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คำนวณจาก gate charge, duty และ layout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AD7606 module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1,500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RESET, RANGE, OS, VDRIVE และ channel mapping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ACS712-20A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180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Calibration, noise และ current range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Lf 1.2 mH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450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Saturation/ripple/thermal rating ของชิ้นส่วนจริง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Cf 10 µF film รวมสำรอง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250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AC voltage และ ripple rating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Rd 1 Ω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Pulse/continuous dissipation และ cooling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OCP comparator/shunt + hardware latch/AND/supervisor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 ชุด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ต้องเสนอราคาใหม่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Independent shutdown และ sensing coverage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Divider/filter/conditioning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 ชุด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120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Input common mode, gain และ bandwidth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DC-link capacitors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 ชุด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150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Ripple, transient rating, pre-charge energy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Auxiliary regulated supplies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ตามวงจรจริง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ต้องเสนอราคาใหม่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Generic LM2596 ต่อจากบัส 40 V โดยตรงไม่ได้รับอนุมัติ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Bus protection/pre-charge/fuse/discharge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 ชุด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ต้องเสนอราคาใหม่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Clamp voltage/energy และ DC switching rating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Load bank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 เฟส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อุณหภูมิและพิกัดตาม duration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PCB/heatsink/connectors/wiring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 ชุด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Layout, insulation, current rating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Multimeter ถ้ายังไม่มี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เครื่องมือจริงและ measurement category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BESS + interface/charger/BMS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ยังไม่กำหนด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ต้องเสนอราคาใหม่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ห้ามสมมติ pack voltage หรือ direct parallel</w:t>
            </w:r>
          </w:p>
        </w:tc>
      </w:tr>
    </w:tbl>
    <w:p>
      <w:pPr>
        <w:pStyle w:val="BodyText"/>
        <w:widowControl/>
      </w:pPr>
      <w:r>
        <w:t xml:space="preserve">อุปกรณ์แล็บที่วางแผนใช้ ได้แก่ adjustable current-limited DC supply, oscilloscope และ differential/isolated measurement ที่เหมาะสม ต้องยืนยันรายการจริงก่อนทดลอง ไม่มีการยืนยัน availability ในเอกสารนี้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3.3</w:t>
      </w:r>
      <w:r>
        <w:t xml:space="preserve"> </w:t>
      </w:r>
      <w:r>
        <w:t xml:space="preserve">ภาคกำลังหลักและทางเลือก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ประเด็น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A: IRF540N + IR2104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B: DRV8302 module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สถานะ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แนวทางหลัก; วงจรจริงยังต้องตรวจรับ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ทางเลือก; ยังไม่มี exact module qualification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Gate drive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Non-isolated bootstrap, UVLO/internal dead-time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ตรวจโหมดและวงจรของบอร์ดจริง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Fault shutdown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Comparator → hardware latch → AND กับ MCU_REQUEST → SD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ต้องพิสูจน์ default-off และ latched shutdown เทียบเท่า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พิกัดใช้งาน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ตรวจจาก waveform/thermal evidence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ห้ามใช้ chip rating แทน board rating</w:t>
            </w:r>
          </w:p>
        </w:tc>
      </w:tr>
    </w:tbl>
    <w:p>
      <w:pPr>
        <w:pStyle w:val="BodyText"/>
        <w:widowControl/>
      </w:pPr>
      <w:r>
        <w:t xml:space="preserve">รายละเอียด:</w:t>
      </w:r>
      <w:r>
        <w:t xml:space="preserve"> </w:t>
      </w:r>
      <w:r>
        <w:rPr>
          <w:rStyle w:val="VerbatimChar"/>
        </w:rPr>
        <w:t xml:space="preserve">D:\workspace\engineering\vsg-project\docs\notes\power_stage_options.md</w:t>
      </w:r>
    </w:p>
    <w:bookmarkEnd w:id="11"/>
    <w:bookmarkStart w:id="12" w:name="ขนตอนการดำเนนงานวจย"/>
    <w:p>
      <w:pPr>
        <w:pStyle w:val="Heading2"/>
        <w:widowControl/>
      </w:pPr>
      <w:r>
        <w:t xml:space="preserve">3.3 ขั้นตอนการดำเนินงานวิจัย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ศึกษาสมการสวิง การกำหนดหน่วย damping และฐาน per-unit พร้อมขอบเขตการเทียบขนาดระบบ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สร้างแบบจำลองจาก Stage 1–5c และพัฒนา Stage 5d สำหรับ discrete controller เก็บ metadata และ timestamp ของทุกสัญญาณ; Stage 5e เป็น robustness extension ที่ต้องแสดง model fidelity และผลแต่ละกรณี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ออกแบบภาคกำลัง ระบบวัด independent latched shutdown และ source/energy sink พร้อมวงจรที่ตรวจสอบได้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พัฒนา ESP32 บน Arduino-ESP32 2.0.17: timer ISR แจ้ง control task; task ทำ floating-point control/ADC/PWM และเป็นเจ้าของ state transition ไม่คำนวณลูปเต็มใน ISR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ทดสอบ software/compile ตามขอบเขต แล้วตรวจ bare-board timing, ADC และ independent fault shutdown ก่อน staged powered bench; HIL และ physical bench เป็นหลักฐานแยกกันและยังไม่เสร็จ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วิเคราะห์ผลที่มี provenance ตรงกัน พร้อมรายงานข้อจำกัด; ไม่คัดลอก historical PASS เป็นการผ่านของ revision ใหม่</w:t>
      </w:r>
    </w:p>
    <w:p>
      <w:pPr>
        <w:pStyle w:val="FirstParagraph"/>
        <w:widowControl/>
      </w:pPr>
      <w:r>
        <w:t xml:space="preserve">Manual learning track แยกจาก scripted models: มีบันทึก Stage 1–2 ผ่าน และ Stage 3 เป็นขั้นถัดไป ไม่ถือว่าการมี scripted Stage 5d แทนความคืบหน้าการประกอบโมเดลด้วยตนเอง</w:t>
      </w:r>
    </w:p>
    <w:bookmarkEnd w:id="12"/>
    <w:bookmarkStart w:id="13" w:name="โครงสรางและหนวยของระบบควบคม"/>
    <w:p>
      <w:pPr>
        <w:pStyle w:val="Heading2"/>
        <w:widowControl/>
      </w:pPr>
      <w:r>
        <w:t xml:space="preserve">3.4 โครงสร้างและหน่วยของระบบควบคุม</w:t>
      </w:r>
    </w:p>
    <w:p>
      <w:pPr>
        <w:pStyle w:val="FirstParagraph"/>
        <w:widowControl/>
      </w:pPr>
      <w:r>
        <w:t xml:space="preserve">ใช้ Park แบบ amplitude-invariant จึงได้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d</m:t>
            </m:r>
          </m:sub>
        </m:sSub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q</m:t>
            </m:r>
          </m:sub>
        </m:sSub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สมการสวิงที่ใช้อ้างอิงคือ</w:t>
      </w:r>
    </w:p>
    <w:p>
      <w:pPr>
        <w:pStyle w:val="BodyText"/>
        <w:widowControl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widowControl/>
      </w:pPr>
      <w:r>
        <w:t xml:space="preserve">เมื่อ omega ใช้ rad/s และกำลังเป็น pu ค่า D = 0.5 จึงมี effective damping ในฐาน normalized frequency เท่ากับ D*omega_s และ effective static P-f slope เป็น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50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0.005647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u</m:t>
          </m:r>
          <m:r>
            <m:rPr>
              <m:sty m:val="p"/>
            </m:rPr>
            <m:t>/</m:t>
          </m:r>
          <m:r>
            <m:rPr>
              <m:sty m:val="p"/>
            </m:rPr>
            <m:t>p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  <w:widowControl/>
      </w:pPr>
      <w:r>
        <w:t xml:space="preserve">จึงไม่เรียกความชันรวมว่า 5% เมื่อต้องการแยกผล inertia ให้เทียบ H ที่ D/effective slope เดียวกัน Q-V droop ใช้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t>Q</m:t>
        </m:r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0.05</m:t>
        </m:r>
        <m:r>
          <m:rPr>
            <m:sty m:val="p"/>
          </m:rPr>
          <m:t>(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0.007</m:t>
        </m:r>
      </m:oMath>
      <w:r>
        <w:t xml:space="preserve"> </w:t>
      </w:r>
      <w:r>
        <w:t xml:space="preserve">V/VAR เมื่อฐาน Q = 100 VAR</w:t>
      </w:r>
    </w:p>
    <w:p>
      <w:pPr>
        <w:pStyle w:val="BodyText"/>
        <w:widowControl/>
      </w:pPr>
      <w:r>
        <w:t xml:space="preserve">ลูป V-I cascade มี design bandwidth 100 Hz และ 1 kHz พร้อม decoupling/load-voltage feedforward และ SPWM 10 kHz ต้องเทียบ discretization, delay, saturation และ anti-windup กับเฟิร์มแวร์โดยตรง การเทียบเฉพาะสมการลูปนอกไม่พิสูจน์พฤติกรรมทั้งระบบขนาดใหญ่</w:t>
      </w:r>
    </w:p>
    <w:bookmarkEnd w:id="13"/>
    <w:bookmarkStart w:id="14" w:name="งานตอยอดและเกณฑหลกฐาน"/>
    <w:p>
      <w:pPr>
        <w:pStyle w:val="Heading2"/>
        <w:widowControl/>
      </w:pPr>
      <w:r>
        <w:t xml:space="preserve">3.5 งานต่อยอดและเกณฑ์หลักฐาน</w:t>
      </w:r>
    </w:p>
    <w:p>
      <w:pPr>
        <w:pStyle w:val="FirstParagraph"/>
        <w:widowControl/>
      </w:pPr>
      <w:r>
        <w:t xml:space="preserve">Active damping เป็นงานต่อยอดแยกจาก Stage 5d ซึ่งเป็น discrete-controller model ปัจจุบัน ควรแก้ data export, limits, source dynamics และ fault handling ก่อนเพิ่ม advanced control การย้ายไป TI C2000 หรือภาคกำลังแรงดันอื่นต้องมีเหตุผลจาก measured timing/measurement limits และทดสอบใหม่ ไม่อนุมานว่าเปลี่ยนบอร์ดแล้วผ่านทันที</w:t>
      </w:r>
    </w:p>
    <w:p>
      <w:pPr>
        <w:pStyle w:val="BodyText"/>
        <w:widowControl/>
      </w:pPr>
      <w:r>
        <w:t xml:space="preserve">BESS ยังคงอยู่ใน scope แต่ chemistry, cell count, BMS, charger และ interface ยังไม่ qualify เริ่มด้วยแหล่งจ่ายจำกัดกระแสและ auxiliary rails แยก; ห้ามขนานแบตเตอรี่ 24 V กับบัส 40 V และต้องมี energy sink ที่ qualify ก่อน load rejection</w:t>
      </w:r>
    </w:p>
    <w:p>
      <w:pPr>
        <w:pStyle w:val="BodyText"/>
        <w:widowControl/>
      </w:pPr>
      <w:r>
        <w:t xml:space="preserve">ผลตรวจรับจริงและการเปรียบเทียบกับ simulation จะเขียนในบทผลทดลองเมื่อมี raw evidence; ขณะนี้ยังไม่อ้างผล HIL หรือ powered bench</w:t>
      </w:r>
    </w:p>
    <w:p>
      <w:pPr>
        <w:pStyle w:val="BodyText"/>
        <w:widowControl/>
      </w:pPr>
      <w:r>
        <w:t xml:space="preserve">รายงาน simulation validation และขอบเขตผล Stage 5d/5e:</w:t>
      </w:r>
      <w:r>
        <w:t xml:space="preserve"> </w:t>
      </w:r>
      <w:r>
        <w:rPr>
          <w:rStyle w:val="VerbatimChar"/>
        </w:rPr>
        <w:t xml:space="preserve">D:\workspace\engineering\vsg-project\docs\notes\simulation_validation_2026-10-13.md</w:t>
      </w:r>
      <w:r>
        <w:t xml:space="preserve">.</w:t>
      </w:r>
    </w:p>
    <w:bookmarkEnd w:id="14"/>
    <w:bookmarkEnd w:id="15"/>
    <w:sectPr>
      <w:footerReference w:type="default" r:id="rId9"/>
      <w:footnotePr>
        <w:numRestart w:val="eachSect"/>
      </w:footnotePr>
      <w:pgSz w:w="12240" w:h="15840"/>
      <w:pgMar w:top="1152" w:bottom="1152" w:left="1224" w:right="1224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Review 2026-10-20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9" w:lineRule="auto" w:after="120"/>
    </w:pPr>
    <w:rPr>
      <w:rFonts w:ascii="Tahoma" w:hAnsi="Tahoma" w:eastAsia="Tahoma" w:cs="Tahoma"/>
      <w:color w:val="000000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homa" w:hAnsi="Tahoma" w:eastAsia="Tahoma" w:cs="Tahoma"/>
      <w:color w:val="000000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rPr>
      <w:rFonts w:ascii="Tahoma" w:hAnsi="Tahoma" w:eastAsia="Tahoma" w:cs="Tahoma"/>
      <w:color w:val="000000"/>
      <w:sz w:val="22"/>
      <w:szCs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homa" w:hAnsi="Tahoma" w:eastAsia="Tahoma" w:cs="Tahoma"/>
      <w:color w:val="000000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ahoma" w:hAnsi="Tahoma" w:eastAsia="Tahoma" w:cs="Tahoma"/>
      <w:color w:val="000000"/>
      <w:sz w:val="40"/>
      <w:szCs w:val="56"/>
      <w:szCs w:val="22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ahoma" w:hAnsi="Tahoma" w:eastAsia="Tahoma" w:cs="Tahoma"/>
      <w:color w:val="000000"/>
      <w:sz w:val="22"/>
      <w:szCs w:val="56"/>
      <w:szCs w:val="2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ahoma" w:hAnsi="Tahoma" w:eastAsia="Tahoma" w:cs="Tahoma"/>
      <w:color w:val="000000"/>
      <w:spacing w:val="15"/>
      <w:sz w:val="22"/>
      <w:szCs w:val="28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ahoma" w:hAnsi="Tahoma" w:eastAsia="Tahoma" w:cs="Tahoma"/>
      <w:color w:val="000000"/>
      <w:spacing w:val="15"/>
      <w:sz w:val="22"/>
      <w:szCs w:val="28"/>
      <w:szCs w:val="22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ahoma" w:hAnsi="Tahoma" w:eastAsia="Tahoma" w:cs="Tahoma"/>
      <w:color w:val="000000"/>
      <w:sz w:val="22"/>
      <w:szCs w:val="24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ahoma" w:hAnsi="Tahoma" w:eastAsia="Tahoma" w:cs="Tahoma"/>
      <w:color w:val="000000"/>
      <w:sz w:val="22"/>
      <w:szCs w:val="24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ahoma" w:hAnsi="Tahoma" w:eastAsia="Tahoma" w:cs="Tahoma"/>
      <w:b/>
      <w:color w:val="000000"/>
      <w:sz w:val="22"/>
      <w:szCs w:val="20"/>
      <w:szCs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ahoma" w:hAnsi="Tahoma" w:eastAsia="Tahoma" w:cs="Tahoma"/>
      <w:color w:val="000000"/>
      <w:sz w:val="22"/>
      <w:szCs w:val="20"/>
      <w:szCs w:val="22"/>
    </w:rPr>
  </w:style>
  <w:style w:styleId="Bibliography" w:type="paragraph">
    <w:name w:val="Bibliography"/>
    <w:basedOn w:val="Normal"/>
    <w:next w:val="Bibliography"/>
    <w:qFormat/>
    <w:pPr/>
    <w:rPr>
      <w:rFonts w:ascii="Tahoma" w:hAnsi="Tahoma" w:eastAsia="Tahoma" w:cs="Tahoma"/>
      <w:color w:val="000000"/>
      <w:sz w:val="22"/>
      <w:szCs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ahoma" w:hAnsi="Tahoma" w:eastAsia="Tahoma" w:cs="Tahoma"/>
      <w:color w:val="000000"/>
      <w:sz w:val="32"/>
      <w:szCs w:val="40"/>
      <w:szCs w:val="2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ahoma" w:hAnsi="Tahoma" w:eastAsia="Tahoma" w:cs="Tahoma"/>
      <w:color w:val="000000"/>
      <w:sz w:val="28"/>
      <w:szCs w:val="32"/>
      <w:szCs w:val="22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ahoma" w:hAnsi="Tahoma" w:eastAsia="Tahoma" w:cs="Tahoma"/>
      <w:color w:val="000000"/>
      <w:sz w:val="24"/>
      <w:szCs w:val="28"/>
      <w:szCs w:val="22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ahoma" w:hAnsi="Tahoma" w:eastAsia="Tahoma" w:cs="Tahoma"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ahoma" w:hAnsi="Tahoma" w:eastAsia="Tahoma" w:cs="Tahoma"/>
      <w:color w:val="000000"/>
      <w:sz w:val="22"/>
      <w:szCs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ahoma" w:hAnsi="Tahoma" w:eastAsia="Tahoma" w:cs="Tahoma"/>
      <w:color w:val="000000"/>
      <w:sz w:val="22"/>
      <w:szCs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ahoma" w:hAnsi="Tahoma" w:eastAsia="Tahoma" w:cs="Tahoma"/>
      <w:color w:val="000000"/>
      <w:sz w:val="22"/>
      <w:szCs w:val="40"/>
      <w:szCs w:val="2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ahoma" w:hAnsi="Tahoma" w:eastAsia="Tahoma" w:cs="Tahoma"/>
      <w:color w:val="000000"/>
      <w:sz w:val="22"/>
      <w:szCs w:val="32"/>
      <w:szCs w:val="2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8"/>
      <w:szCs w:val="2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ahoma" w:hAnsi="Tahoma" w:eastAsia="Tahoma" w:cs="Tahoma"/>
      <w:color w:val="000000"/>
      <w:sz w:val="22"/>
      <w:szCs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ahoma" w:hAnsi="Tahoma" w:eastAsia="Tahoma" w:cs="Tahoma"/>
      <w:color w:val="000000"/>
      <w:sz w:val="22"/>
      <w:szCs w:val="22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ahoma" w:hAnsi="Tahoma" w:eastAsia="Tahoma" w:cs="Tahoma"/>
      <w:color w:val="000000"/>
      <w:sz w:val="22"/>
      <w:szCs w:val="22"/>
    </w:rPr>
  </w:style>
  <w:style w:default="1" w:styleId="DefaultParagraphFont" w:type="character">
    <w:name w:val="Default Paragraph Font"/>
    <w:semiHidden/>
    <w:unhideWhenUsed/>
    <w:rPr>
      <w:rFonts w:ascii="Tahoma" w:hAnsi="Tahoma" w:eastAsia="Tahoma" w:cs="Tahoma"/>
      <w:color w:val="000000"/>
      <w:sz w:val="22"/>
      <w:szCs w:val="22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ahoma" w:hAnsi="Tahoma" w:eastAsia="Tahoma" w:cs="Tahoma"/>
      <w:b/>
      <w:color w:val="000000"/>
      <w:sz w:val="22"/>
      <w:szCs w:val="22"/>
    </w:rPr>
  </w:style>
  <w:style w:customStyle="1" w:styleId="Definition" w:type="paragraph">
    <w:name w:val="Definition"/>
    <w:basedOn w:val="Normal"/>
    <w:rPr>
      <w:rFonts w:ascii="Tahoma" w:hAnsi="Tahoma" w:eastAsia="Tahoma" w:cs="Tahoma"/>
      <w:color w:val="000000"/>
      <w:sz w:val="22"/>
      <w:szCs w:val="22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ahoma" w:hAnsi="Tahoma" w:eastAsia="Tahoma" w:cs="Tahoma"/>
      <w:i/>
      <w:color w:val="000000"/>
      <w:sz w:val="22"/>
      <w:szCs w:val="22"/>
    </w:rPr>
  </w:style>
  <w:style w:customStyle="1" w:styleId="TableCaption" w:type="paragraph">
    <w:name w:val="Table Caption"/>
    <w:basedOn w:val="Caption"/>
    <w:pPr>
      <w:keepNext/>
    </w:pPr>
    <w:rPr>
      <w:rFonts w:ascii="Tahoma" w:hAnsi="Tahoma" w:eastAsia="Tahoma" w:cs="Tahoma"/>
      <w:color w:val="000000"/>
      <w:sz w:val="22"/>
      <w:szCs w:val="22"/>
    </w:rPr>
  </w:style>
  <w:style w:customStyle="1" w:styleId="ImageCaption" w:type="paragraph">
    <w:name w:val="Image Caption"/>
    <w:basedOn w:val="Caption"/>
    <w:rPr>
      <w:rFonts w:ascii="Tahoma" w:hAnsi="Tahoma" w:eastAsia="Tahoma" w:cs="Tahoma"/>
      <w:color w:val="000000"/>
      <w:sz w:val="22"/>
      <w:szCs w:val="22"/>
    </w:rPr>
  </w:style>
  <w:style w:customStyle="1" w:styleId="Figure" w:type="paragraph">
    <w:name w:val="Figure"/>
    <w:basedOn w:val="Normal"/>
    <w:rPr>
      <w:rFonts w:ascii="Tahoma" w:hAnsi="Tahoma" w:eastAsia="Tahoma" w:cs="Tahoma"/>
      <w:color w:val="000000"/>
      <w:sz w:val="22"/>
      <w:szCs w:val="22"/>
    </w:rPr>
  </w:style>
  <w:style w:customStyle="1" w:styleId="CaptionedFigure" w:type="paragraph">
    <w:name w:val="Captioned Figure"/>
    <w:basedOn w:val="Figure"/>
    <w:pPr>
      <w:keepNext/>
    </w:pPr>
    <w:rPr>
      <w:rFonts w:ascii="Tahoma" w:hAnsi="Tahoma" w:eastAsia="Tahoma" w:cs="Tahoma"/>
      <w:color w:val="000000"/>
      <w:sz w:val="22"/>
      <w:szCs w:val="22"/>
    </w:rPr>
  </w:style>
  <w:style w:customStyle="1" w:styleId="BodyTextChar" w:type="character">
    <w:name w:val="Body Text Char"/>
    <w:basedOn w:val="DefaultParagraphFont"/>
    <w:link w:val="BodyText"/>
    <w:rPr>
      <w:rFonts w:ascii="Tahoma" w:hAnsi="Tahoma" w:eastAsia="Tahoma" w:cs="Tahoma"/>
      <w:color w:val="000000"/>
      <w:sz w:val="22"/>
      <w:szCs w:val="22"/>
    </w:rPr>
  </w:style>
  <w:style w:customStyle="1" w:styleId="VerbatimChar" w:type="character">
    <w:name w:val="Verbatim Char"/>
    <w:basedOn w:val="BodyTextChar"/>
    <w:rPr>
      <w:rFonts w:ascii="Tahoma" w:hAnsi="Tahoma" w:eastAsia="Tahoma" w:cs="Tahoma"/>
      <w:color w:val="000000"/>
      <w:sz w:val="22"/>
      <w:szCs w:val="22"/>
    </w:rPr>
  </w:style>
  <w:style w:customStyle="1" w:styleId="SectionNumber" w:type="character">
    <w:name w:val="Section Number"/>
    <w:basedOn w:val="BodyTextChar"/>
    <w:rPr>
      <w:rFonts w:ascii="Tahoma" w:hAnsi="Tahoma" w:eastAsia="Tahoma" w:cs="Tahoma"/>
      <w:color w:val="000000"/>
      <w:sz w:val="22"/>
      <w:szCs w:val="22"/>
    </w:rPr>
  </w:style>
  <w:style w:styleId="FootnoteReference" w:type="character">
    <w:name w:val="Footnote Reference"/>
    <w:basedOn w:val="BodyTextChar"/>
    <w:rPr>
      <w:rFonts w:ascii="Tahoma" w:hAnsi="Tahoma" w:eastAsia="Tahoma" w:cs="Tahoma"/>
      <w:color w:val="000000"/>
      <w:sz w:val="22"/>
      <w:vertAlign w:val="superscript"/>
      <w:szCs w:val="22"/>
    </w:rPr>
  </w:style>
  <w:style w:styleId="Hyperlink" w:type="character">
    <w:name w:val="Hyperlink"/>
    <w:basedOn w:val="BodyTextChar"/>
    <w:rPr>
      <w:rFonts w:ascii="Tahoma" w:hAnsi="Tahoma" w:eastAsia="Tahoma" w:cs="Tahoma"/>
      <w:color w:val="000000"/>
      <w:sz w:val="22"/>
      <w:szCs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ahoma" w:hAnsi="Tahoma" w:eastAsia="Tahoma" w:cs="Tahoma"/>
      <w:b w:val="0"/>
      <w:bCs w:val="0"/>
      <w:color w:val="000000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ahoma" w:hAnsi="Tahoma" w:eastAsia="Tahoma" w:cs="Tahoma"/>
      <w:color w:val="000000"/>
      <w:sz w:val="22"/>
      <w:szCs w:val="22"/>
    </w:rPr>
  </w:style>
  <w:style w:type="character" w:customStyle="1" w:styleId="KeywordTok">
    <w:name w:val="Keyword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DataTypeTok">
    <w:name w:val="DataType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DecValTok">
    <w:name w:val="DecVal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BaseNTok">
    <w:name w:val="Base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FloatTok">
    <w:name w:val="Float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ConstantTok">
    <w:name w:val="Constant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CharTok">
    <w:name w:val="Cha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SpecialCharTok">
    <w:name w:val="SpecialCha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StringTok">
    <w:name w:val="String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VerbatimStringTok">
    <w:name w:val="VerbatimString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SpecialStringTok">
    <w:name w:val="SpecialString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ImportTok">
    <w:name w:val="Import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CommentTok">
    <w:name w:val="CommentTok"/>
    <w:basedOn w:val="VerbatimChar"/>
    <w:rPr>
      <w:rFonts w:ascii="Tahoma" w:hAnsi="Tahoma" w:eastAsia="Tahoma" w:cs="Tahoma"/>
      <w:i/>
      <w:color w:val="000000"/>
      <w:sz w:val="22"/>
      <w:szCs w:val="22"/>
    </w:rPr>
  </w:style>
  <w:style w:type="character" w:customStyle="1" w:styleId="DocumentationTok">
    <w:name w:val="DocumentationTok"/>
    <w:basedOn w:val="VerbatimChar"/>
    <w:rPr>
      <w:rFonts w:ascii="Tahoma" w:hAnsi="Tahoma" w:eastAsia="Tahoma" w:cs="Tahoma"/>
      <w:i/>
      <w:color w:val="000000"/>
      <w:sz w:val="22"/>
      <w:szCs w:val="22"/>
    </w:rPr>
  </w:style>
  <w:style w:type="character" w:customStyle="1" w:styleId="AnnotationTok">
    <w:name w:val="Annotation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CommentVarTok">
    <w:name w:val="CommentVar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OtherTok">
    <w:name w:val="Othe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FunctionTok">
    <w:name w:val="Functio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VariableTok">
    <w:name w:val="Variable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ControlFlowTok">
    <w:name w:val="ControlFlow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OperatorTok">
    <w:name w:val="Operato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BuiltInTok">
    <w:name w:val="BuiltI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ExtensionTok">
    <w:name w:val="Extensio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PreprocessorTok">
    <w:name w:val="Preprocesso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AttributeTok">
    <w:name w:val="Attribute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RegionMarkerTok">
    <w:name w:val="RegionMarke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InformationTok">
    <w:name w:val="Information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WarningTok">
    <w:name w:val="Warning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AlertTok">
    <w:name w:val="Alert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ErrorTok">
    <w:name w:val="Error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NormalTok">
    <w:name w:val="NormalTok"/>
    <w:basedOn w:val="VerbatimChar"/>
    <w:rPr>
      <w:rFonts w:ascii="Tahoma" w:hAnsi="Tahoma" w:eastAsia="Tahoma" w:cs="Tahoma"/>
      <w:color w:val="000000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2026-10-20T15:18:55Z</dcterms:created>
  <dcterms:modified xsi:type="dcterms:W3CDTF">2026-10-20T15:18:55Z</dcterms:modified>
  <dc:description>Dated review export; not a replacement for advisor originals. Physical validation remains pending.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