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25AC0" w14:textId="09D74D53" w:rsidR="00171A09" w:rsidRDefault="00171A09" w:rsidP="00171A09">
      <w:pPr>
        <w:tabs>
          <w:tab w:val="left" w:pos="1452"/>
        </w:tabs>
      </w:pPr>
    </w:p>
    <w:p w14:paraId="2D965BB9" w14:textId="77777777" w:rsidR="00A86E16" w:rsidRPr="00A86E16" w:rsidRDefault="00A86E16" w:rsidP="00A86E16">
      <w:pPr>
        <w:spacing w:line="256" w:lineRule="auto"/>
        <w:jc w:val="center"/>
        <w:rPr>
          <w:rFonts w:ascii="Calibri" w:eastAsia="Calibri" w:hAnsi="Calibri" w:cs="Times New Roman"/>
          <w:kern w:val="0"/>
          <w:sz w:val="32"/>
          <w:szCs w:val="32"/>
          <w14:ligatures w14:val="none"/>
        </w:rPr>
      </w:pPr>
      <w:r w:rsidRPr="00A86E16">
        <w:rPr>
          <w:rFonts w:ascii="Calibri" w:eastAsia="Calibri" w:hAnsi="Calibri" w:cs="Times New Roman"/>
          <w:kern w:val="0"/>
          <w:sz w:val="40"/>
          <w:szCs w:val="40"/>
          <w14:ligatures w14:val="none"/>
        </w:rPr>
        <w:t>Western Governor’s University</w:t>
      </w:r>
    </w:p>
    <w:p w14:paraId="7C49948E" w14:textId="77777777" w:rsidR="00A86E16" w:rsidRPr="00A86E16" w:rsidRDefault="00A86E16" w:rsidP="00A86E16">
      <w:pPr>
        <w:spacing w:line="256" w:lineRule="auto"/>
        <w:jc w:val="center"/>
        <w:rPr>
          <w:rFonts w:ascii="Calibri" w:eastAsia="Calibri" w:hAnsi="Calibri" w:cs="Times New Roman"/>
          <w:b/>
          <w:kern w:val="0"/>
          <w:sz w:val="32"/>
          <w:szCs w:val="32"/>
          <w14:ligatures w14:val="none"/>
        </w:rPr>
      </w:pPr>
      <w:r w:rsidRPr="00A86E16">
        <w:rPr>
          <w:rFonts w:ascii="Calibri" w:eastAsia="Calibri" w:hAnsi="Calibri" w:cs="Times New Roman"/>
          <w:b/>
          <w:kern w:val="0"/>
          <w:sz w:val="32"/>
          <w:szCs w:val="32"/>
          <w14:ligatures w14:val="none"/>
        </w:rPr>
        <w:t>Legal Issues in Information Security</w:t>
      </w:r>
    </w:p>
    <w:p w14:paraId="2DD50F50" w14:textId="77777777" w:rsidR="00A86E16" w:rsidRPr="00A86E16" w:rsidRDefault="00A86E16" w:rsidP="00A86E16">
      <w:pPr>
        <w:spacing w:line="256" w:lineRule="auto"/>
        <w:jc w:val="center"/>
        <w:rPr>
          <w:rFonts w:ascii="Calibri" w:eastAsia="Calibri" w:hAnsi="Calibri" w:cs="Times New Roman"/>
          <w:kern w:val="0"/>
          <w:sz w:val="32"/>
          <w:szCs w:val="32"/>
          <w14:ligatures w14:val="none"/>
        </w:rPr>
      </w:pPr>
      <w:r w:rsidRPr="00A86E16">
        <w:rPr>
          <w:rFonts w:ascii="Calibri" w:eastAsia="Calibri" w:hAnsi="Calibri" w:cs="Times New Roman"/>
          <w:b/>
          <w:kern w:val="0"/>
          <w:sz w:val="32"/>
          <w:szCs w:val="32"/>
          <w14:ligatures w14:val="none"/>
        </w:rPr>
        <w:t>C841</w:t>
      </w:r>
    </w:p>
    <w:p w14:paraId="61B93020" w14:textId="41294A0A" w:rsidR="00A86E16" w:rsidRDefault="00A86E16" w:rsidP="00A86E16">
      <w:pPr>
        <w:spacing w:line="256" w:lineRule="auto"/>
        <w:jc w:val="center"/>
        <w:rPr>
          <w:rFonts w:ascii="Calibri" w:eastAsia="Calibri" w:hAnsi="Calibri" w:cs="Times New Roman"/>
          <w:kern w:val="0"/>
          <w:sz w:val="32"/>
          <w:szCs w:val="32"/>
          <w14:ligatures w14:val="none"/>
        </w:rPr>
      </w:pPr>
      <w:r w:rsidRPr="00A86E16">
        <w:rPr>
          <w:rFonts w:ascii="Calibri" w:eastAsia="Calibri" w:hAnsi="Calibri" w:cs="Times New Roman"/>
          <w:kern w:val="0"/>
          <w:sz w:val="32"/>
          <w:szCs w:val="32"/>
          <w14:ligatures w14:val="none"/>
        </w:rPr>
        <w:t>[</w:t>
      </w:r>
      <w:r>
        <w:rPr>
          <w:rFonts w:ascii="Calibri" w:eastAsia="Calibri" w:hAnsi="Calibri" w:cs="Times New Roman"/>
          <w:b/>
          <w:bCs/>
          <w:kern w:val="0"/>
          <w:sz w:val="32"/>
          <w:szCs w:val="32"/>
          <w14:ligatures w14:val="none"/>
        </w:rPr>
        <w:t>Nicolas Stevenson</w:t>
      </w:r>
      <w:r w:rsidRPr="00A86E16">
        <w:rPr>
          <w:rFonts w:ascii="Calibri" w:eastAsia="Calibri" w:hAnsi="Calibri" w:cs="Times New Roman"/>
          <w:kern w:val="0"/>
          <w:sz w:val="32"/>
          <w:szCs w:val="32"/>
          <w14:ligatures w14:val="none"/>
        </w:rPr>
        <w:t>]</w:t>
      </w:r>
    </w:p>
    <w:p w14:paraId="448F5228" w14:textId="0AD58B12" w:rsidR="00991ECD" w:rsidRDefault="00991ECD" w:rsidP="00A86E16">
      <w:pPr>
        <w:spacing w:line="256" w:lineRule="auto"/>
        <w:jc w:val="center"/>
        <w:rPr>
          <w:rFonts w:ascii="Calibri" w:eastAsia="Calibri" w:hAnsi="Calibri" w:cs="Times New Roman"/>
          <w:kern w:val="0"/>
          <w:sz w:val="32"/>
          <w:szCs w:val="32"/>
          <w14:ligatures w14:val="none"/>
        </w:rPr>
      </w:pPr>
      <w:r>
        <w:rPr>
          <w:rFonts w:ascii="Calibri" w:eastAsia="Calibri" w:hAnsi="Calibri" w:cs="Times New Roman"/>
          <w:kern w:val="0"/>
          <w:sz w:val="32"/>
          <w:szCs w:val="32"/>
          <w14:ligatures w14:val="none"/>
        </w:rPr>
        <w:t>Dustin Barker</w:t>
      </w:r>
    </w:p>
    <w:p w14:paraId="5C35CF10" w14:textId="02F68E8C" w:rsidR="00991ECD" w:rsidRPr="00A86E16" w:rsidRDefault="00991ECD" w:rsidP="00A86E16">
      <w:pPr>
        <w:spacing w:line="256" w:lineRule="auto"/>
        <w:jc w:val="center"/>
        <w:rPr>
          <w:rFonts w:ascii="Calibri" w:eastAsia="Calibri" w:hAnsi="Calibri" w:cs="Times New Roman"/>
          <w:kern w:val="0"/>
          <w14:ligatures w14:val="none"/>
        </w:rPr>
      </w:pPr>
      <w:r>
        <w:rPr>
          <w:rFonts w:ascii="Calibri" w:eastAsia="Calibri" w:hAnsi="Calibri" w:cs="Times New Roman"/>
          <w:kern w:val="0"/>
          <w:sz w:val="32"/>
          <w:szCs w:val="32"/>
          <w14:ligatures w14:val="none"/>
        </w:rPr>
        <w:t>January 15, 2024</w:t>
      </w:r>
    </w:p>
    <w:p w14:paraId="18782115" w14:textId="77777777" w:rsidR="00A86E16" w:rsidRPr="00A86E16" w:rsidRDefault="00A86E16" w:rsidP="00A86E16">
      <w:pPr>
        <w:spacing w:line="256" w:lineRule="auto"/>
        <w:jc w:val="center"/>
        <w:rPr>
          <w:rFonts w:ascii="Calibri" w:eastAsia="Times New Roman" w:hAnsi="Constantia" w:cs="Times New Roman"/>
          <w:b/>
          <w:bCs/>
          <w:color w:val="000000" w:themeColor="text1"/>
          <w:kern w:val="24"/>
          <w:sz w:val="28"/>
          <w:szCs w:val="28"/>
          <w14:ligatures w14:val="none"/>
        </w:rPr>
      </w:pPr>
      <w:r w:rsidRPr="00A86E16">
        <w:rPr>
          <w:rFonts w:ascii="Calibri" w:eastAsia="Times New Roman" w:hAnsi="Constantia" w:cs="Times New Roman"/>
          <w:b/>
          <w:bCs/>
          <w:color w:val="000000" w:themeColor="text1"/>
          <w:kern w:val="24"/>
          <w:sz w:val="28"/>
          <w:szCs w:val="28"/>
          <w14:ligatures w14:val="none"/>
        </w:rPr>
        <w:t>IHP4 Task 1: Legal Analysis</w:t>
      </w:r>
    </w:p>
    <w:p w14:paraId="4FC77960" w14:textId="77777777" w:rsidR="00171A09" w:rsidRDefault="00171A09" w:rsidP="00A86E16">
      <w:pPr>
        <w:tabs>
          <w:tab w:val="left" w:pos="1452"/>
        </w:tabs>
        <w:jc w:val="center"/>
      </w:pPr>
    </w:p>
    <w:p w14:paraId="2DFC2A40" w14:textId="719424D5" w:rsidR="00171A09" w:rsidRDefault="00171A09" w:rsidP="00171A09">
      <w:pPr>
        <w:tabs>
          <w:tab w:val="left" w:pos="1452"/>
        </w:tabs>
      </w:pPr>
      <w:r>
        <w:t xml:space="preserve">A1) CFAA and ECPA </w:t>
      </w:r>
    </w:p>
    <w:p w14:paraId="748AEA28" w14:textId="45C06AD5" w:rsidR="008C786D" w:rsidRPr="008C786D" w:rsidRDefault="00171A09" w:rsidP="008C786D">
      <w:pPr>
        <w:tabs>
          <w:tab w:val="left" w:pos="1452"/>
        </w:tabs>
      </w:pPr>
      <w:r>
        <w:tab/>
      </w:r>
      <w:r w:rsidR="008C786D" w:rsidRPr="008C786D">
        <w:t xml:space="preserve">The transgression of the Computer Fraud and Abuse Act (CFAA) occurred when TechFite </w:t>
      </w:r>
      <w:r w:rsidR="00560992">
        <w:t xml:space="preserve">‘s Business Intelligence Unit Application Head Carl Jaspers </w:t>
      </w:r>
      <w:r w:rsidR="008C786D" w:rsidRPr="008C786D">
        <w:t xml:space="preserve">sanctioned </w:t>
      </w:r>
      <w:r w:rsidR="00560992">
        <w:t>actions</w:t>
      </w:r>
      <w:r w:rsidR="008C786D" w:rsidRPr="008C786D">
        <w:t xml:space="preserve"> to generate spurious user accounts. These fabricated accounts were then utilized to obtain unauthorized access to diverse groups and units within the company. Such actions contravene the statutory provisions delineated by the CFAA, which explicitly prohibit unauthorized access to computer systems. TechFite's complicity in the creation and utilization of dummy accounts represents a breach of legal and ethical standards governing information technology </w:t>
      </w:r>
      <w:r w:rsidR="002A1826" w:rsidRPr="008C786D">
        <w:t>practices. The</w:t>
      </w:r>
      <w:r w:rsidR="008C786D" w:rsidRPr="008C786D">
        <w:t xml:space="preserve"> unauthorized access facilitated by the aforementioned dummy accounts compromised the integrity of the company's internal security protocols and potentially jeopardized sensitive information. This violation underscores the significance of adherence to regulatory frameworks such as the CFAA, which are designed to safeguard against illicit activities within the realm of computer systems and data management. TechFite's failure to uphold these legal standards not only raises concerns about the company's commitment to cybersecurity but also underscores the need for rigorous enforcement of regulatory compliance in the realm of digital technology. The incident prompts a reassessment of internal controls and policies to prevent future violations and uphold the highest standards of integrity in information technology practices.</w:t>
      </w:r>
    </w:p>
    <w:p w14:paraId="183088FD" w14:textId="0538A8A7" w:rsidR="008C786D" w:rsidRPr="008C786D" w:rsidRDefault="00E75574" w:rsidP="008C786D">
      <w:pPr>
        <w:tabs>
          <w:tab w:val="left" w:pos="1452"/>
        </w:tabs>
      </w:pPr>
      <w:r>
        <w:tab/>
      </w:r>
      <w:r w:rsidR="008C786D" w:rsidRPr="008C786D">
        <w:t>The transgression of the Electronics Communication Privacy Act (ECPA) occurred when the Metasploit tool, employed for system penetration, was detected on numerous machines through the utilization of the Encase Endpoint Investigator software. The examination of the hard drives revealed compelling evidence of recent scanning activities, indicative of potential breaches of electronic communication privacy. Such findings implicate a violation of the legal provisions delineated by the ECPA, which safeguards the privacy of electronic communications against unauthorized interception or access.</w:t>
      </w:r>
      <w:r w:rsidR="008C786D">
        <w:t xml:space="preserve"> </w:t>
      </w:r>
      <w:r w:rsidR="008C786D" w:rsidRPr="008C786D">
        <w:t xml:space="preserve">The presence of the Metasploit tool on multiple machines, coupled with evidence of recent scanning activities, raises serious concerns regarding the security and integrity of the electronic communication infrastructure. This incident underscores the imperative for organizations to uphold and adhere to legal frameworks such as the ECPA in order to safeguard the privacy and confidentiality of </w:t>
      </w:r>
      <w:r w:rsidR="008C786D" w:rsidRPr="008C786D">
        <w:lastRenderedPageBreak/>
        <w:t>electronic communications. The identification of such tools and activities through forensic investigation highlights the necessity for robust cybersecurity measures and continual monitoring to thwart unauthorized access and potential privacy infringements. Addressing this violation mandates a comprehensive reassessment of security protocols and policies to prevent the recurrence of such breaches and to ensure stringent compliance with legal standards governing electronic communication privacy.</w:t>
      </w:r>
    </w:p>
    <w:p w14:paraId="3B241BD9" w14:textId="19040550" w:rsidR="00176186" w:rsidRDefault="00176186" w:rsidP="00171A09">
      <w:pPr>
        <w:tabs>
          <w:tab w:val="left" w:pos="1452"/>
        </w:tabs>
      </w:pPr>
    </w:p>
    <w:p w14:paraId="1BB52C40" w14:textId="04FB23CE" w:rsidR="00753BE7" w:rsidRDefault="00176186" w:rsidP="00CE6854">
      <w:pPr>
        <w:tabs>
          <w:tab w:val="left" w:pos="1452"/>
        </w:tabs>
      </w:pPr>
      <w:r>
        <w:t>A2)</w:t>
      </w:r>
      <w:r w:rsidR="003E3098">
        <w:t xml:space="preserve"> </w:t>
      </w:r>
      <w:r w:rsidR="00753BE7">
        <w:t xml:space="preserve">Three laws with the justification of legal action </w:t>
      </w:r>
    </w:p>
    <w:p w14:paraId="42E558EE" w14:textId="13EF7FC1" w:rsidR="003E3098" w:rsidRDefault="00B7506B" w:rsidP="00CE6854">
      <w:pPr>
        <w:tabs>
          <w:tab w:val="left" w:pos="1452"/>
        </w:tabs>
      </w:pPr>
      <w:r>
        <w:t>Computer Fraud and Abuse Act</w:t>
      </w:r>
      <w:r w:rsidR="00D26E90" w:rsidRPr="00D26E90">
        <w:br/>
        <w:t>TechFite has been found in violation of the initial provision of the Computer Fraud and Abuse Act (CFAA), which explicitly prohibits any unlawful intent to access a computer system without proper authorization or to surpass the limits of authorized access</w:t>
      </w:r>
      <w:r w:rsidR="004B71A2">
        <w:t xml:space="preserve"> (Grama, </w:t>
      </w:r>
      <w:proofErr w:type="spellStart"/>
      <w:r w:rsidR="004B71A2">
        <w:t>pg</w:t>
      </w:r>
      <w:proofErr w:type="spellEnd"/>
      <w:r w:rsidR="004B71A2">
        <w:t xml:space="preserve"> 50)</w:t>
      </w:r>
      <w:r w:rsidR="00D26E90" w:rsidRPr="00D26E90">
        <w:t>. The specific incident in question occurred when Carl Jaspers solicited access to two actively utilized accounts for the purpose of gathering intelligence against competitors. Jaspers' suggestions of employing methods such as dumpster diving and trash surveillance further underscore the illegal nature of the intended actions. These activities not only contravene established legal frameworks but also pose a serious threat to the integrity and confidentiality of sensitive information. In light of these findings, it is imperative to address and rectify TechFite's breach of the CFAA, ensuring adherence to legal and ethical standards in the realm of computer system access. Such violations warrant a thorough investigation and potential legal consequences to uphold the principles of cybersecurity and protect against unauthorized data access.</w:t>
      </w:r>
    </w:p>
    <w:p w14:paraId="1D9E5F05" w14:textId="3E224C64" w:rsidR="00B7506B" w:rsidRDefault="00B7506B" w:rsidP="00CE6854">
      <w:pPr>
        <w:tabs>
          <w:tab w:val="left" w:pos="1452"/>
        </w:tabs>
      </w:pPr>
      <w:r>
        <w:t>Sarbanes-Oxley Act of 2002</w:t>
      </w:r>
    </w:p>
    <w:p w14:paraId="3943E891" w14:textId="72DB13D9" w:rsidR="00B7506B" w:rsidRPr="00B7506B" w:rsidRDefault="00B7506B" w:rsidP="00B7506B">
      <w:pPr>
        <w:tabs>
          <w:tab w:val="left" w:pos="1452"/>
        </w:tabs>
      </w:pPr>
      <w:r w:rsidRPr="00B7506B">
        <w:t>The Sarbanes-Oxley Act of 2002 constitutes another legislative framework violated by TechFite. The transgressions primarily implicate two key provisions, specifically, the first provision concerning Corporate Governance and the third provision related to Financial Disclosures</w:t>
      </w:r>
      <w:r w:rsidR="004B71A2">
        <w:t xml:space="preserve"> (Grama, </w:t>
      </w:r>
      <w:proofErr w:type="spellStart"/>
      <w:r w:rsidR="004B71A2">
        <w:t>pg</w:t>
      </w:r>
      <w:proofErr w:type="spellEnd"/>
      <w:r w:rsidR="004B71A2">
        <w:t xml:space="preserve"> 279)</w:t>
      </w:r>
      <w:r w:rsidRPr="00B7506B">
        <w:t>. The Corporate Governance provision of the act aims to enhance the structure and oversight of corporate entities, whereas the Financial Disclosures provision mandates rigorous reporting and transparency in financial matters. TechFite's infringements are evident in the practices of its Business Intelligence department, which, through the conferment of escalation privileges to dummy accounts, has facilitated unauthorized access to various sectors within the organization, including Human Resources, Financial, and Legal departments. This unauthorized access not only raises concerns about potential breaches of corporate governance protocols but also exposes TechFite to heightened risks of financial irregularities.</w:t>
      </w:r>
    </w:p>
    <w:p w14:paraId="5F4FF2EA" w14:textId="32E4DD10" w:rsidR="005A3CD6" w:rsidRDefault="005A3CD6" w:rsidP="00B7506B">
      <w:pPr>
        <w:tabs>
          <w:tab w:val="left" w:pos="1452"/>
        </w:tabs>
      </w:pPr>
      <w:r>
        <w:t xml:space="preserve">Electronic Communications Act </w:t>
      </w:r>
      <w:r w:rsidR="00100068">
        <w:t xml:space="preserve"> </w:t>
      </w:r>
    </w:p>
    <w:p w14:paraId="1B7FBC36" w14:textId="793D3C71" w:rsidR="00100068" w:rsidRDefault="00100068" w:rsidP="00B7506B">
      <w:pPr>
        <w:tabs>
          <w:tab w:val="left" w:pos="1452"/>
        </w:tabs>
      </w:pPr>
      <w:r w:rsidRPr="00100068">
        <w:br/>
        <w:t>Negligence in upholding the Electronics Communication Privacy Act (ECPA) is evident as the Metasploit tool, employed for system penetration, was discovered on multiple machines using the Encase Endpoint Investigator software</w:t>
      </w:r>
      <w:r w:rsidR="004B71A2">
        <w:t xml:space="preserve"> (Kramer, </w:t>
      </w:r>
      <w:proofErr w:type="spellStart"/>
      <w:r w:rsidR="004B71A2">
        <w:t>pg</w:t>
      </w:r>
      <w:proofErr w:type="spellEnd"/>
      <w:r w:rsidR="004B71A2">
        <w:t xml:space="preserve"> 80</w:t>
      </w:r>
      <w:proofErr w:type="gramStart"/>
      <w:r w:rsidR="004B71A2">
        <w:t xml:space="preserve">) </w:t>
      </w:r>
      <w:r w:rsidRPr="00100068">
        <w:t>.</w:t>
      </w:r>
      <w:proofErr w:type="gramEnd"/>
      <w:r w:rsidRPr="00100068">
        <w:t xml:space="preserve"> Examination of hard drives exposed recent scanning activities, indicating potential breaches of electronic communication privacy. This signifies a violation of the ECPA's legal provisions designed to protect against unauthorized interception or access to electronic communications. The presence of the Metasploit tool and evidence of scanning activities on various machines raises serious concerns about the security and integrity of the electronic communication </w:t>
      </w:r>
      <w:r w:rsidRPr="00100068">
        <w:lastRenderedPageBreak/>
        <w:t>infrastructure. This incident emphasizes the need for organizations to diligently uphold legal frameworks like the ECPA to preserve the privacy of electronic communications. The identification of such tools through forensic investigation underscores the necessity for robust cybersecurity measures and ongoing monitoring to prevent unauthorized access and potential privacy violations. Rectifying this negligence requires a thorough reassessment of security protocols and policies to prevent similar breaches and ensure strict compliance with legal standards governing electronic communication privacy.</w:t>
      </w:r>
    </w:p>
    <w:p w14:paraId="61754FDD" w14:textId="77777777" w:rsidR="00100068" w:rsidRDefault="00100068" w:rsidP="00B7506B">
      <w:pPr>
        <w:tabs>
          <w:tab w:val="left" w:pos="1452"/>
        </w:tabs>
      </w:pPr>
    </w:p>
    <w:p w14:paraId="0E186667" w14:textId="77777777" w:rsidR="001325FD" w:rsidRDefault="001325FD" w:rsidP="00B7506B">
      <w:pPr>
        <w:tabs>
          <w:tab w:val="left" w:pos="1452"/>
        </w:tabs>
      </w:pPr>
    </w:p>
    <w:p w14:paraId="6443FFC5" w14:textId="4EA00107" w:rsidR="00100068" w:rsidRDefault="00100068" w:rsidP="00B7506B">
      <w:pPr>
        <w:tabs>
          <w:tab w:val="left" w:pos="1452"/>
        </w:tabs>
      </w:pPr>
      <w:r>
        <w:t>A3</w:t>
      </w:r>
      <w:r w:rsidR="00753BE7">
        <w:t>:Duty of Due Care was lacking</w:t>
      </w:r>
    </w:p>
    <w:p w14:paraId="5A5A95AA" w14:textId="77777777" w:rsidR="00724A30" w:rsidRPr="00724A30" w:rsidRDefault="00724A30" w:rsidP="00724A30">
      <w:pPr>
        <w:tabs>
          <w:tab w:val="left" w:pos="1452"/>
        </w:tabs>
      </w:pPr>
      <w:r w:rsidRPr="00724A30">
        <w:t>Carl Jasper, as the head of the Business Intelligence Unit, demonstrated a lack of the duty of due care in two notable instances:</w:t>
      </w:r>
    </w:p>
    <w:p w14:paraId="602C786B" w14:textId="77777777" w:rsidR="00724A30" w:rsidRPr="00724A30" w:rsidRDefault="00724A30" w:rsidP="00724A30">
      <w:pPr>
        <w:numPr>
          <w:ilvl w:val="0"/>
          <w:numId w:val="1"/>
        </w:numPr>
        <w:tabs>
          <w:tab w:val="left" w:pos="1452"/>
        </w:tabs>
      </w:pPr>
      <w:r w:rsidRPr="00724A30">
        <w:rPr>
          <w:b/>
          <w:bCs/>
        </w:rPr>
        <w:t>Breach of NDA with Orange Leaf:</w:t>
      </w:r>
      <w:r w:rsidRPr="00724A30">
        <w:t xml:space="preserve"> Despite having a Non-Disclosure Agreement (NDA) in place with Orange Leaf, proprietary information ended up in the possession of a competitor. This indicates a failure on Carl Jasper's part to ensure that the terms of the NDA were rigorously enforced and that the confidential information of Orange Leaf was adequately protected. A breach of an NDA suggests a failure to exercise the necessary level of care and diligence in safeguarding sensitive information, thereby demonstrating a lack of due care in preserving the confidentiality of proprietary data.</w:t>
      </w:r>
    </w:p>
    <w:p w14:paraId="25147CA9" w14:textId="77777777" w:rsidR="00724A30" w:rsidRPr="00724A30" w:rsidRDefault="00724A30" w:rsidP="00724A30">
      <w:pPr>
        <w:numPr>
          <w:ilvl w:val="0"/>
          <w:numId w:val="1"/>
        </w:numPr>
        <w:tabs>
          <w:tab w:val="left" w:pos="1452"/>
        </w:tabs>
      </w:pPr>
      <w:r w:rsidRPr="00724A30">
        <w:rPr>
          <w:b/>
          <w:bCs/>
        </w:rPr>
        <w:t>Negligence in Security Analyst Nadia Johnson's Background Check:</w:t>
      </w:r>
      <w:r w:rsidRPr="00724A30">
        <w:t xml:space="preserve"> The background check conducted on Security Analyst Nadia Johnson raised concerns due to her prior relationship with Carl Jasper. Despite this potential conflict of interest, there was evidence of generous raises, positive reviews, and recommendations, as well as personal interactions through photos and texts on social media. Carl Jasper's failure to appropriately address or mitigate the conflict of interest revealed a lack of due care in personnel management and security measures. The duty of due care would have required him to take proactive steps to avoid situations where personal relationships could compromise the integrity of security protocols and the confidentiality of sensitive information.</w:t>
      </w:r>
    </w:p>
    <w:p w14:paraId="1DFF266E" w14:textId="77777777" w:rsidR="00724A30" w:rsidRDefault="00724A30" w:rsidP="00724A30">
      <w:pPr>
        <w:tabs>
          <w:tab w:val="left" w:pos="1452"/>
        </w:tabs>
      </w:pPr>
      <w:r w:rsidRPr="00724A30">
        <w:t>In both instances, Carl Jasper's actions, or lack thereof, suggest a failure to meet the expected standard of care in protecting confidential information and ensuring the integrity of the Business Intelligence Unit. The duty of due care would have demanded a more vigilant and proactive approach in handling proprietary information and addressing potential conflicts of interest within the team.</w:t>
      </w:r>
    </w:p>
    <w:p w14:paraId="1D673261" w14:textId="3B9BB37C" w:rsidR="00A47242" w:rsidRDefault="00A47242" w:rsidP="00724A30">
      <w:pPr>
        <w:tabs>
          <w:tab w:val="left" w:pos="1452"/>
        </w:tabs>
      </w:pPr>
      <w:r>
        <w:t>A</w:t>
      </w:r>
      <w:r w:rsidR="00753BE7">
        <w:t>4: Describe how the SOX act applies</w:t>
      </w:r>
    </w:p>
    <w:p w14:paraId="156ED9DF" w14:textId="77777777" w:rsidR="00A47242" w:rsidRDefault="00A47242" w:rsidP="00A47242">
      <w:pPr>
        <w:tabs>
          <w:tab w:val="left" w:pos="1452"/>
        </w:tabs>
      </w:pPr>
      <w:r w:rsidRPr="00A47242">
        <w:t xml:space="preserve">The utilization of dummy accounts to infiltrate different segments of the company represents a direct violation of the Sarbanes-Oxley Act's stipulations, particularly in terms of internal controls and the prevention of fraudulent activities. By compromising the integrity of financial and operational data in sensitive departments, TechFite not only undermines the principles of sound corporate governance but also jeopardizes compliance with the act's requirements for accurate financial disclosures. The observed lapses underscore the imperative for TechFite to rectify its internal controls, reinforcing adherence to the Sarbanes-Oxley Act to mitigate the potential for financial mismanagement and enhance overall </w:t>
      </w:r>
      <w:r w:rsidRPr="00A47242">
        <w:lastRenderedPageBreak/>
        <w:t>regulatory compliance. Addressing these violations demands a comprehensive reassessment of the company's practices and policies to align them with the stringent standards mandated by the Sarbanes-Oxley Act.</w:t>
      </w:r>
    </w:p>
    <w:p w14:paraId="04E8E100" w14:textId="77777777" w:rsidR="00A47242" w:rsidRDefault="00A47242" w:rsidP="00A47242">
      <w:pPr>
        <w:tabs>
          <w:tab w:val="left" w:pos="1452"/>
        </w:tabs>
      </w:pPr>
    </w:p>
    <w:p w14:paraId="2237EBE0" w14:textId="5201CD03" w:rsidR="00A47242" w:rsidRDefault="00A47242" w:rsidP="00A47242">
      <w:pPr>
        <w:tabs>
          <w:tab w:val="left" w:pos="1452"/>
        </w:tabs>
      </w:pPr>
      <w:r>
        <w:t>B</w:t>
      </w:r>
      <w:r w:rsidR="003712CD">
        <w:t>1</w:t>
      </w:r>
      <w:r w:rsidR="00B53F47">
        <w:t>a</w:t>
      </w:r>
    </w:p>
    <w:p w14:paraId="2168F74B" w14:textId="7B2B63FC" w:rsidR="003712CD" w:rsidRDefault="003712CD" w:rsidP="00A47242">
      <w:pPr>
        <w:tabs>
          <w:tab w:val="left" w:pos="1452"/>
        </w:tabs>
      </w:pPr>
      <w:r w:rsidRPr="003712CD">
        <w:t xml:space="preserve">Carl Jasper's breach of the Non-Disclosure Agreements (NDAs) with both Orange Leaf and Union City Electronic Ventures rises to the level of a potential criminal act due to the unauthorized disclosure of proprietary information to a competitor. By allowing sensitive and confidential information to find its way into the hands of a rival company, Jasper not only violated the contractual obligations established in the NDAs but also compromised the competitive advantage and intellectual property of the affected </w:t>
      </w:r>
      <w:r w:rsidR="00B53F47" w:rsidRPr="003712CD">
        <w:t>organizations.</w:t>
      </w:r>
    </w:p>
    <w:p w14:paraId="2DDB8AF7" w14:textId="484DE1F8" w:rsidR="00BA0C77" w:rsidRDefault="00BA0C77" w:rsidP="00A47242">
      <w:pPr>
        <w:tabs>
          <w:tab w:val="left" w:pos="1452"/>
        </w:tabs>
      </w:pPr>
      <w:r w:rsidRPr="00BA0C77">
        <w:t>The establishment of Bebop Software of Alberta, FGH Research Group of Indiana, and Dazzling Comet Software of Florida as potential shell companies, characterized by their conspicuous absence of internet presence, raises serious concerns about the veracity of sales figures and company earnings presented to investors and the CEO. The deliberate creation of entities lacking an online footprint can serve as a deceptive mechanism to mislead stakeholders and artificially inflate financial performance metrics. Such intentional manipulation of financial data with the intent to deceive investors and executives constitutes a fraudulent practice and may be considered a criminal activity. Carl Jasper's involvement in the orchestration of these potential shell companies, aimed at misleading key stakeholders, could potentially lead to charges related to fraud, misrepresentation, or other financial crimes, as it undermines the transparency and integrity required in corporate financial reporting.</w:t>
      </w:r>
    </w:p>
    <w:p w14:paraId="357E5738" w14:textId="154A5090" w:rsidR="00B53F47" w:rsidRDefault="00B53F47" w:rsidP="00A47242">
      <w:pPr>
        <w:tabs>
          <w:tab w:val="left" w:pos="1452"/>
        </w:tabs>
        <w:rPr>
          <w:rFonts w:ascii="Segoe UI" w:hAnsi="Segoe UI" w:cs="Segoe UI"/>
          <w:color w:val="374151"/>
        </w:rPr>
      </w:pPr>
      <w:r>
        <w:t>B1b</w:t>
      </w:r>
    </w:p>
    <w:p w14:paraId="644E1D6F" w14:textId="77777777" w:rsidR="00290E22" w:rsidRDefault="00851FFF" w:rsidP="00A47242">
      <w:pPr>
        <w:tabs>
          <w:tab w:val="left" w:pos="1452"/>
        </w:tabs>
      </w:pPr>
      <w:r w:rsidRPr="00851FFF">
        <w:br/>
      </w:r>
      <w:r w:rsidR="00290E22" w:rsidRPr="00290E22">
        <w:br/>
        <w:t>The absence of an Intellectual Property law at TechFite created a legal vacuum that facilitated criminal activities by Division Head Carl Jaspers, resulting in the illicit transfer of proprietary information from Orange Leaf Software LLC and Union City Electronic Ventures to competitors. In the absence of clear legal boundaries and consequences for intellectual property theft, Jaspers engaged in criminal behavior with relative impunity. This glaring gap in legal oversight allowed for the unauthorized dissemination of sensitive information, posing a serious threat not only to the affected companies but also to the overall integrity of the business environment. This incident underscores the imperative need for robust intellectual property laws to address and deter criminal activities, ensuring the protection of proprietary information and holding individuals accountable for such breaches in a legal context. The development and enforcement of stringent laws are essential to safeguard innovation and maintain trust within the business community.</w:t>
      </w:r>
    </w:p>
    <w:p w14:paraId="6288F0D7" w14:textId="698D143B" w:rsidR="008F62FB" w:rsidRDefault="00290E22" w:rsidP="00A47242">
      <w:pPr>
        <w:tabs>
          <w:tab w:val="left" w:pos="1452"/>
        </w:tabs>
      </w:pPr>
      <w:r w:rsidRPr="00290E22">
        <w:br/>
        <w:t xml:space="preserve">The absence of an Acceptable Use Policy (AUP) at TechFite played a pivotal role in facilitating criminal activities carried out by Analyst Sarah Miller and her team. Without a clear and comprehensive AUP in place, there were no defined guidelines and restrictions on the permissible use of company resources, including electronic communication tools and equipment. This lack of oversight created an environment </w:t>
      </w:r>
      <w:r w:rsidRPr="00290E22">
        <w:lastRenderedPageBreak/>
        <w:t>where Miller and her team could engage in criminal activities, such as utilizing the Metasploit tool and conducting unauthorized penetration testing and scanning activities on multiple machines. The absence of an AUP meant there were no specific prohibitions or consequences outlined for such actions, allowing for a breach of ethical and legal standards. This incident underscores the critical importance of implementing and enforcing a robust Acceptable Use Policy to establish clear boundaries, prevent criminal activities, and ensure the responsible and lawful use of company resources by employees.</w:t>
      </w:r>
    </w:p>
    <w:p w14:paraId="4135E97E" w14:textId="77777777" w:rsidR="008F62FB" w:rsidRDefault="008F62FB" w:rsidP="00A47242">
      <w:pPr>
        <w:tabs>
          <w:tab w:val="left" w:pos="1452"/>
        </w:tabs>
      </w:pPr>
    </w:p>
    <w:p w14:paraId="16C1E004" w14:textId="5F98AC24" w:rsidR="00F81541" w:rsidRDefault="00B53F47" w:rsidP="00A47242">
      <w:pPr>
        <w:tabs>
          <w:tab w:val="left" w:pos="1452"/>
        </w:tabs>
      </w:pPr>
      <w:r>
        <w:t>B2</w:t>
      </w:r>
      <w:r w:rsidR="00426AC4">
        <w:t>A</w:t>
      </w:r>
      <w:r w:rsidR="00BA0C77">
        <w:t xml:space="preserve"> </w:t>
      </w:r>
      <w:r w:rsidR="00753BE7">
        <w:t xml:space="preserve">Negligent Activity </w:t>
      </w:r>
    </w:p>
    <w:p w14:paraId="26E7D23D" w14:textId="2E959E5B" w:rsidR="00753BE7" w:rsidRDefault="00753BE7" w:rsidP="00A47242">
      <w:pPr>
        <w:tabs>
          <w:tab w:val="left" w:pos="1452"/>
        </w:tabs>
      </w:pPr>
      <w:r>
        <w:t>TechFite has alleged acts of negligence by</w:t>
      </w:r>
    </w:p>
    <w:p w14:paraId="5888408D" w14:textId="0C4624B4" w:rsidR="00BA0C77" w:rsidRDefault="00BA0C77" w:rsidP="00BA0C77">
      <w:pPr>
        <w:tabs>
          <w:tab w:val="left" w:pos="2268"/>
        </w:tabs>
      </w:pPr>
      <w:r>
        <w:t xml:space="preserve">BI Unit’s </w:t>
      </w:r>
      <w:r w:rsidR="00753BE7">
        <w:t>Application Division Head, Carl Jasper</w:t>
      </w:r>
    </w:p>
    <w:p w14:paraId="6E6C4118" w14:textId="77A21504" w:rsidR="00BA0C77" w:rsidRDefault="009132F8" w:rsidP="00BA0C77">
      <w:pPr>
        <w:pStyle w:val="ListParagraph"/>
        <w:numPr>
          <w:ilvl w:val="0"/>
          <w:numId w:val="2"/>
        </w:numPr>
        <w:tabs>
          <w:tab w:val="left" w:pos="2268"/>
        </w:tabs>
      </w:pPr>
      <w:r>
        <w:t xml:space="preserve">Carl Jaspers signed </w:t>
      </w:r>
      <w:proofErr w:type="gramStart"/>
      <w:r>
        <w:t>NDA’s</w:t>
      </w:r>
      <w:proofErr w:type="gramEnd"/>
      <w:r>
        <w:t xml:space="preserve"> with Orange Leaf Software LLC and Union City Electronic Ventures LLC</w:t>
      </w:r>
    </w:p>
    <w:p w14:paraId="2D4BB85F" w14:textId="783F8721" w:rsidR="00753BE7" w:rsidRDefault="009132F8" w:rsidP="00BA0C77">
      <w:pPr>
        <w:pStyle w:val="ListParagraph"/>
        <w:numPr>
          <w:ilvl w:val="0"/>
          <w:numId w:val="2"/>
        </w:numPr>
        <w:tabs>
          <w:tab w:val="left" w:pos="2268"/>
        </w:tabs>
      </w:pPr>
      <w:r>
        <w:t xml:space="preserve">Orange Leaf </w:t>
      </w:r>
      <w:proofErr w:type="gramStart"/>
      <w:r>
        <w:t>CTO’s</w:t>
      </w:r>
      <w:proofErr w:type="gramEnd"/>
      <w:r>
        <w:t xml:space="preserve"> completed a questionnaire with technical information on Orange Leaf’s products</w:t>
      </w:r>
    </w:p>
    <w:p w14:paraId="25F49D32" w14:textId="4C721C8A" w:rsidR="00D17D32" w:rsidRDefault="009132F8" w:rsidP="00BA0C77">
      <w:pPr>
        <w:pStyle w:val="ListParagraph"/>
        <w:numPr>
          <w:ilvl w:val="0"/>
          <w:numId w:val="2"/>
        </w:numPr>
        <w:tabs>
          <w:tab w:val="left" w:pos="2268"/>
        </w:tabs>
      </w:pPr>
      <w:r>
        <w:t xml:space="preserve">Orange Leaf’s CEO Noah Stevenson found a competitor was launching a similar </w:t>
      </w:r>
      <w:proofErr w:type="gramStart"/>
      <w:r>
        <w:t>product</w:t>
      </w:r>
      <w:proofErr w:type="gramEnd"/>
    </w:p>
    <w:p w14:paraId="2F13D06E" w14:textId="2DB03B5D" w:rsidR="009132F8" w:rsidRDefault="009132F8" w:rsidP="00BA0C77">
      <w:pPr>
        <w:pStyle w:val="ListParagraph"/>
        <w:numPr>
          <w:ilvl w:val="0"/>
          <w:numId w:val="2"/>
        </w:numPr>
        <w:tabs>
          <w:tab w:val="left" w:pos="2268"/>
        </w:tabs>
      </w:pPr>
      <w:r>
        <w:t xml:space="preserve">Union City ‘s CEO Ana </w:t>
      </w:r>
      <w:proofErr w:type="spellStart"/>
      <w:r>
        <w:t>Caperson</w:t>
      </w:r>
      <w:proofErr w:type="spellEnd"/>
      <w:r>
        <w:t xml:space="preserve"> described a similar scenario after not deciding to use the Application Division</w:t>
      </w:r>
    </w:p>
    <w:p w14:paraId="68F199DA" w14:textId="493910F9" w:rsidR="009132F8" w:rsidRDefault="009132F8" w:rsidP="00BA0C77">
      <w:pPr>
        <w:pStyle w:val="ListParagraph"/>
        <w:numPr>
          <w:ilvl w:val="0"/>
          <w:numId w:val="2"/>
        </w:numPr>
        <w:tabs>
          <w:tab w:val="left" w:pos="2268"/>
        </w:tabs>
      </w:pPr>
      <w:r w:rsidRPr="009132F8">
        <w:rPr>
          <w:rFonts w:ascii="Calibri" w:eastAsia="Calibri" w:hAnsi="Calibri" w:cs="Times New Roman"/>
          <w:kern w:val="0"/>
          <w14:ligatures w14:val="none"/>
        </w:rPr>
        <w:t>Both potential clients provided copies of the questionnaires</w:t>
      </w:r>
      <w:r>
        <w:rPr>
          <w:rFonts w:ascii="Calibri" w:eastAsia="Calibri" w:hAnsi="Calibri" w:cs="Times New Roman"/>
          <w:kern w:val="0"/>
          <w14:ligatures w14:val="none"/>
        </w:rPr>
        <w:t xml:space="preserve"> </w:t>
      </w:r>
      <w:r w:rsidRPr="009132F8">
        <w:rPr>
          <w:rFonts w:ascii="Calibri" w:eastAsia="Calibri" w:hAnsi="Calibri" w:cs="Times New Roman"/>
          <w:kern w:val="0"/>
          <w14:ligatures w14:val="none"/>
        </w:rPr>
        <w:t>and they do contain information that could be of value to a competitor</w:t>
      </w:r>
    </w:p>
    <w:p w14:paraId="560FB65C" w14:textId="5A055DA4" w:rsidR="009132F8" w:rsidRDefault="009132F8" w:rsidP="00BA0C77">
      <w:pPr>
        <w:pStyle w:val="ListParagraph"/>
        <w:numPr>
          <w:ilvl w:val="0"/>
          <w:numId w:val="2"/>
        </w:numPr>
        <w:tabs>
          <w:tab w:val="left" w:pos="2268"/>
        </w:tabs>
      </w:pPr>
      <w:r>
        <w:t xml:space="preserve">The two competitors are identified as existing clients of </w:t>
      </w:r>
      <w:proofErr w:type="spellStart"/>
      <w:r>
        <w:t>TechFite’s</w:t>
      </w:r>
      <w:proofErr w:type="spellEnd"/>
      <w:r>
        <w:t xml:space="preserve"> Applications Division</w:t>
      </w:r>
    </w:p>
    <w:p w14:paraId="51C8CFA6" w14:textId="38A75FEB" w:rsidR="00CE0E30" w:rsidRDefault="00AA1B14" w:rsidP="00214B54">
      <w:pPr>
        <w:tabs>
          <w:tab w:val="left" w:pos="2268"/>
        </w:tabs>
      </w:pPr>
      <w:r w:rsidRPr="00AA1B14">
        <w:br/>
      </w:r>
      <w:r w:rsidR="00CE0E30">
        <w:t xml:space="preserve">BI Unit’s Senior Analyst Sarah Miller, </w:t>
      </w:r>
      <w:r w:rsidR="003C078E">
        <w:t xml:space="preserve">Team Members Analysts Megan </w:t>
      </w:r>
      <w:r w:rsidR="00560992">
        <w:t>R</w:t>
      </w:r>
      <w:r w:rsidR="003C078E">
        <w:t>ogers and Jack Hudson</w:t>
      </w:r>
    </w:p>
    <w:p w14:paraId="38EFA1FD" w14:textId="489686B8" w:rsidR="003C078E" w:rsidRDefault="00D72A31" w:rsidP="00D72A31">
      <w:pPr>
        <w:pStyle w:val="ListParagraph"/>
        <w:numPr>
          <w:ilvl w:val="0"/>
          <w:numId w:val="4"/>
        </w:numPr>
        <w:tabs>
          <w:tab w:val="left" w:pos="2268"/>
        </w:tabs>
      </w:pPr>
      <w:r>
        <w:t>The Metasploit tool which is used for penetration testing on multiple machines with evidence from hard drive of recent penetration and scanning activity into IP addresses of several companies.</w:t>
      </w:r>
    </w:p>
    <w:p w14:paraId="47B8C687" w14:textId="72988DEE" w:rsidR="00D72A31" w:rsidRDefault="00D72A31" w:rsidP="00D72A31">
      <w:pPr>
        <w:pStyle w:val="ListParagraph"/>
        <w:numPr>
          <w:ilvl w:val="0"/>
          <w:numId w:val="4"/>
        </w:numPr>
        <w:tabs>
          <w:tab w:val="left" w:pos="2268"/>
        </w:tabs>
      </w:pPr>
      <w:r>
        <w:t>Sarah Miller had the most traffic scanning companies.</w:t>
      </w:r>
    </w:p>
    <w:p w14:paraId="39231A2F" w14:textId="2FF7DAE7" w:rsidR="00D72A31" w:rsidRDefault="00D72A31" w:rsidP="00D72A31">
      <w:pPr>
        <w:pStyle w:val="ListParagraph"/>
        <w:numPr>
          <w:ilvl w:val="0"/>
          <w:numId w:val="4"/>
        </w:numPr>
        <w:tabs>
          <w:tab w:val="left" w:pos="2268"/>
        </w:tabs>
      </w:pPr>
      <w:r>
        <w:t>Analysts Rogers and Hudson were directed by Miller and had similar scanning activities</w:t>
      </w:r>
    </w:p>
    <w:p w14:paraId="33C131DE" w14:textId="55A2BA5F" w:rsidR="00D72A31" w:rsidRDefault="00D72A31" w:rsidP="00D72A31">
      <w:pPr>
        <w:pStyle w:val="ListParagraph"/>
        <w:numPr>
          <w:ilvl w:val="0"/>
          <w:numId w:val="4"/>
        </w:numPr>
        <w:tabs>
          <w:tab w:val="left" w:pos="2268"/>
        </w:tabs>
      </w:pPr>
      <w:r>
        <w:t xml:space="preserve">Hudson coordinated third party information gathering through surveilling and mining companies </w:t>
      </w:r>
      <w:proofErr w:type="gramStart"/>
      <w:r>
        <w:t>trash</w:t>
      </w:r>
      <w:proofErr w:type="gramEnd"/>
      <w:r>
        <w:t xml:space="preserve"> </w:t>
      </w:r>
    </w:p>
    <w:p w14:paraId="1169ADA6" w14:textId="48C40DDE" w:rsidR="00A86E16" w:rsidRDefault="00A86E16" w:rsidP="00D72A31">
      <w:pPr>
        <w:pStyle w:val="ListParagraph"/>
        <w:numPr>
          <w:ilvl w:val="0"/>
          <w:numId w:val="4"/>
        </w:numPr>
        <w:tabs>
          <w:tab w:val="left" w:pos="2268"/>
        </w:tabs>
      </w:pPr>
      <w:r>
        <w:t>These actions are in violation of the Computer Abuse and Fraud Act</w:t>
      </w:r>
    </w:p>
    <w:p w14:paraId="2015CD3C" w14:textId="3A8BAD20" w:rsidR="00D17D32" w:rsidRDefault="00D17D32" w:rsidP="00D72A31">
      <w:pPr>
        <w:pStyle w:val="ListParagraph"/>
        <w:numPr>
          <w:ilvl w:val="0"/>
          <w:numId w:val="4"/>
        </w:numPr>
        <w:tabs>
          <w:tab w:val="left" w:pos="2268"/>
        </w:tabs>
      </w:pPr>
      <w:r>
        <w:t xml:space="preserve">The victims are </w:t>
      </w:r>
      <w:proofErr w:type="gramStart"/>
      <w:r>
        <w:t>any former</w:t>
      </w:r>
      <w:proofErr w:type="gramEnd"/>
      <w:r>
        <w:t xml:space="preserve"> employee</w:t>
      </w:r>
      <w:r w:rsidR="00A86E16">
        <w:t xml:space="preserve">s and competitors of TechFite due to illegal information gathering. </w:t>
      </w:r>
    </w:p>
    <w:p w14:paraId="5E2F609C" w14:textId="77777777" w:rsidR="00214B54" w:rsidRDefault="00426AC4" w:rsidP="00AA1B14">
      <w:pPr>
        <w:tabs>
          <w:tab w:val="left" w:pos="2268"/>
        </w:tabs>
      </w:pPr>
      <w:r>
        <w:t>B2B</w:t>
      </w:r>
    </w:p>
    <w:p w14:paraId="6684936A" w14:textId="5FA9E353" w:rsidR="00214B54" w:rsidRDefault="00214B54" w:rsidP="00AA1B14">
      <w:pPr>
        <w:tabs>
          <w:tab w:val="left" w:pos="2268"/>
        </w:tabs>
      </w:pPr>
      <w:r w:rsidRPr="00214B54">
        <w:br/>
        <w:t xml:space="preserve">The absence of an Intellectual Property law at TechFite created a loophole that allowed Division Head Carl Jaspers to engage in negligent practices, resulting in the unauthorized disclosure of proprietary information from Orange Leaf Software LLC and Union City Electronic Ventures to competitors. Without a robust legal framework specifically addressing intellectual property protection, there were insufficient safeguards to deter and prevent such breaches. Jaspers' actions underscore the critical importance of having comprehensive intellectual property laws in place to ensure the legal protection of proprietary </w:t>
      </w:r>
      <w:r w:rsidRPr="00214B54">
        <w:lastRenderedPageBreak/>
        <w:t xml:space="preserve">information, thereby deterring individuals within the organization from engaging in negligent practices that could compromise sensitive data and harm the interests of the company and its stakeholders. This incident emphasizes the necessity for implementing and enforcing stringent legal measures to safeguard intellectual property in the rapidly evolving </w:t>
      </w:r>
      <w:proofErr w:type="gramStart"/>
      <w:r w:rsidRPr="00214B54">
        <w:t>business</w:t>
      </w:r>
      <w:proofErr w:type="gramEnd"/>
    </w:p>
    <w:p w14:paraId="5033664D" w14:textId="5A9A24DA" w:rsidR="00AA1B14" w:rsidRDefault="00426AC4" w:rsidP="00AA1B14">
      <w:pPr>
        <w:tabs>
          <w:tab w:val="left" w:pos="2268"/>
        </w:tabs>
      </w:pPr>
      <w:r w:rsidRPr="00426AC4">
        <w:br/>
        <w:t>The absence of an Acceptable Use Policy at TechFite contributed to negligent practices within the company. The company's sign of release, allowing surveillance of electronic communications using TechFite equipment and procedures, failed to prevent alleged negligent activities by Senior Analyst Sarah Miller and her team, which included Megan Rogers and Jack Hudson. Despite the authorization for company surveillance, a lapse in oversight became evident when the Metasploit tool was discovered on multiple machines, along with evidence of recent penetration testing and scanning activity. This breach highlights a flaw in the surveillance procedures outlined in the sign of release, as they were ineffective in promptly detecting and addressing negligent behavior. The incident underscores the need to revisit and strengthen surveillance mechanisms to enable proactive monitoring and response capabilities, ultimately minimizing the risk of negligent activities that could compromise the security and integrity of the organization's systems.</w:t>
      </w:r>
    </w:p>
    <w:p w14:paraId="002DEDD0" w14:textId="77777777" w:rsidR="00753BE7" w:rsidRDefault="00753BE7" w:rsidP="00753BE7">
      <w:pPr>
        <w:tabs>
          <w:tab w:val="left" w:pos="2268"/>
        </w:tabs>
      </w:pPr>
    </w:p>
    <w:p w14:paraId="4631ACBA" w14:textId="2490F099" w:rsidR="00B1595A" w:rsidRPr="00B1595A" w:rsidRDefault="00753BE7" w:rsidP="00B1595A">
      <w:pPr>
        <w:tabs>
          <w:tab w:val="left" w:pos="2268"/>
        </w:tabs>
      </w:pPr>
      <w:r>
        <w:t xml:space="preserve">(C) Legal Summary of TechFite’s Legal Compliance </w:t>
      </w:r>
    </w:p>
    <w:p w14:paraId="43F9E730" w14:textId="77777777" w:rsidR="00BE446F" w:rsidRPr="00576F86" w:rsidRDefault="00BE446F" w:rsidP="00BE446F">
      <w:r w:rsidRPr="00576F86">
        <w:t>Dear Senior Management,</w:t>
      </w:r>
    </w:p>
    <w:p w14:paraId="6526E3D8" w14:textId="77777777" w:rsidR="00BE446F" w:rsidRDefault="00BE446F" w:rsidP="00BE446F">
      <w:r w:rsidRPr="00576F86">
        <w:t xml:space="preserve">I would like to bring to your attention potential concerns regarding </w:t>
      </w:r>
      <w:proofErr w:type="spellStart"/>
      <w:r w:rsidRPr="00576F86">
        <w:t>TechFite's</w:t>
      </w:r>
      <w:proofErr w:type="spellEnd"/>
      <w:r w:rsidRPr="00576F86">
        <w:t xml:space="preserve"> compliance with the Sarbanes-Oxley Act of 2002 (SOX). An investigation has revealed an association between TechFite and Bebop Software of Alberta, FGH Research Group of Indiana, and Dazzling Comet Software of Florida. Notably, all three companies have checks drawn from the same bank, </w:t>
      </w:r>
      <w:proofErr w:type="spellStart"/>
      <w:r w:rsidRPr="00576F86">
        <w:t>Freeworkers</w:t>
      </w:r>
      <w:proofErr w:type="spellEnd"/>
      <w:r w:rsidRPr="00576F86">
        <w:t xml:space="preserve"> Pennsylvania Bank in Scranton, PA. Additionally, the shared registered agent for these corporations is Yu Lee, who attended graduate school with Carl Jaspers. These findings </w:t>
      </w:r>
      <w:r>
        <w:t xml:space="preserve">are </w:t>
      </w:r>
      <w:r w:rsidRPr="00576F86">
        <w:t>violations of key SOX provisions, including Corporate Responsibility, Audit Committee Independence, Internal Controls, and Disclosure of Off-Balance Sheet Arrangements</w:t>
      </w:r>
      <w:r>
        <w:t xml:space="preserve"> which puts TechFite in non-compliance of the SOX Act. </w:t>
      </w:r>
    </w:p>
    <w:p w14:paraId="1FFFB348" w14:textId="77777777" w:rsidR="00BE446F" w:rsidRPr="004118E1" w:rsidRDefault="00BE446F" w:rsidP="00BE446F">
      <w:r>
        <w:t xml:space="preserve">In addition, </w:t>
      </w:r>
      <w:proofErr w:type="spellStart"/>
      <w:r w:rsidRPr="004118E1">
        <w:t>TechFite’s</w:t>
      </w:r>
      <w:proofErr w:type="spellEnd"/>
      <w:r w:rsidRPr="004118E1">
        <w:t xml:space="preserve"> potential non-compliance with the Electronic Communication Privacy Act (ECPA). Recent evidence has come to light, indicating unauthorized system penetration testing and network scanning conducted by the Application Division's Business Unit, particularly involving Senior Analyst Sarah Miller and her team.</w:t>
      </w:r>
    </w:p>
    <w:p w14:paraId="36AB7F73" w14:textId="77777777" w:rsidR="00426AC4" w:rsidRDefault="00BE446F" w:rsidP="00BE446F">
      <w:r w:rsidRPr="004118E1">
        <w:t xml:space="preserve">This activity not only raises legal issues under the ECPA, which prohibits unauthorized access to electronic communications and computer systems, but also constitutes a clear violation of </w:t>
      </w:r>
      <w:proofErr w:type="spellStart"/>
      <w:r w:rsidRPr="004118E1">
        <w:t>TechFite's</w:t>
      </w:r>
      <w:proofErr w:type="spellEnd"/>
      <w:r w:rsidRPr="004118E1">
        <w:t xml:space="preserve"> sign of release. The sign of release permits company surveillance of electronic communications using TechFite equipment and procedures, subject to certain legal and ethical boundaries.</w:t>
      </w:r>
    </w:p>
    <w:p w14:paraId="78E5E6D2" w14:textId="15A35974" w:rsidR="00BE446F" w:rsidRPr="00426AC4" w:rsidRDefault="00BE446F" w:rsidP="00BE446F">
      <w:r w:rsidRPr="00426AC4">
        <w:rPr>
          <w:rFonts w:cstheme="minorHAnsi"/>
          <w:color w:val="374151"/>
        </w:rPr>
        <w:t xml:space="preserve">TechFite has been found in violation of the Computer Fraud and Abuse Act (CFAA) due to actions taken by Carl Jaspers, the Head of Business Intelligence Unit Application. Jaspers authorized the creation of fraudulent user accounts, which were then used to gain unauthorized access to various groups and units within the company. This act goes against the explicit provisions of the CFAA, which prohibit unauthorized access to computer systems. </w:t>
      </w:r>
      <w:proofErr w:type="spellStart"/>
      <w:r w:rsidRPr="00426AC4">
        <w:rPr>
          <w:rFonts w:cstheme="minorHAnsi"/>
          <w:color w:val="374151"/>
        </w:rPr>
        <w:t>TechFite's</w:t>
      </w:r>
      <w:proofErr w:type="spellEnd"/>
      <w:r w:rsidRPr="00426AC4">
        <w:rPr>
          <w:rFonts w:cstheme="minorHAnsi"/>
          <w:color w:val="374151"/>
        </w:rPr>
        <w:t xml:space="preserve"> involvement in the generation and utilization of </w:t>
      </w:r>
      <w:r w:rsidRPr="00426AC4">
        <w:rPr>
          <w:rFonts w:cstheme="minorHAnsi"/>
          <w:color w:val="374151"/>
        </w:rPr>
        <w:lastRenderedPageBreak/>
        <w:t xml:space="preserve">these dummy accounts constitutes a breach of both legal and ethical standards governing information technology practices. The unauthorized access facilitated by these accounts compromised the company's internal security protocols and posed a potential threat to sensitive information. This violation highlights the importance of adhering to regulatory frameworks like the CFAA, designed to prevent illicit activities in the realm of computer systems and data management. </w:t>
      </w:r>
      <w:proofErr w:type="spellStart"/>
      <w:r w:rsidRPr="00426AC4">
        <w:rPr>
          <w:rFonts w:cstheme="minorHAnsi"/>
          <w:color w:val="374151"/>
        </w:rPr>
        <w:t>TechFite's</w:t>
      </w:r>
      <w:proofErr w:type="spellEnd"/>
      <w:r w:rsidRPr="00426AC4">
        <w:rPr>
          <w:rFonts w:cstheme="minorHAnsi"/>
          <w:color w:val="374151"/>
        </w:rPr>
        <w:t xml:space="preserve"> failure to uphold these standards raises concerns about its commitment to cybersecurity, emphasizing the need for strict enforcement of regulatory compliance in the digital technology sector. This incident calls for a reassessment of internal controls and policies to prevent future violations and ensure the highest standards of integrity in information technology practices.</w:t>
      </w:r>
    </w:p>
    <w:p w14:paraId="5452EDEF" w14:textId="77777777" w:rsidR="00BE446F" w:rsidRPr="004118E1" w:rsidRDefault="00BE446F" w:rsidP="00BE446F"/>
    <w:p w14:paraId="1A99A4FC" w14:textId="77777777" w:rsidR="00B1595A" w:rsidRDefault="00B1595A" w:rsidP="0063185F">
      <w:pPr>
        <w:pStyle w:val="Title"/>
        <w:jc w:val="center"/>
      </w:pPr>
    </w:p>
    <w:p w14:paraId="37A68F1B" w14:textId="06483158" w:rsidR="00A86E16" w:rsidRDefault="0063185F" w:rsidP="0063185F">
      <w:pPr>
        <w:pStyle w:val="Title"/>
        <w:jc w:val="center"/>
      </w:pPr>
      <w:r>
        <w:t>References</w:t>
      </w:r>
    </w:p>
    <w:p w14:paraId="49223232" w14:textId="77777777" w:rsidR="00A86E16" w:rsidRDefault="00A86E16" w:rsidP="00753BE7">
      <w:pPr>
        <w:tabs>
          <w:tab w:val="left" w:pos="2268"/>
        </w:tabs>
      </w:pPr>
    </w:p>
    <w:p w14:paraId="20962507" w14:textId="77777777" w:rsidR="0063185F" w:rsidRPr="0063185F" w:rsidRDefault="0063185F" w:rsidP="0063185F">
      <w:pPr>
        <w:tabs>
          <w:tab w:val="left" w:pos="2268"/>
        </w:tabs>
        <w:jc w:val="center"/>
      </w:pPr>
      <w:r w:rsidRPr="0063185F">
        <w:t xml:space="preserve">Grama, Joanna Lyn. </w:t>
      </w:r>
      <w:r w:rsidRPr="0063185F">
        <w:rPr>
          <w:i/>
          <w:iCs/>
        </w:rPr>
        <w:t>Legal and Privacy Issues in Information Security</w:t>
      </w:r>
      <w:r w:rsidRPr="0063185F">
        <w:t xml:space="preserve">. Third ed., Jones &amp; Bartlett Learning, 2022. </w:t>
      </w:r>
    </w:p>
    <w:p w14:paraId="718BB7C7" w14:textId="551501D1" w:rsidR="00A86E16" w:rsidRDefault="00A86E16" w:rsidP="00A86E16">
      <w:pPr>
        <w:tabs>
          <w:tab w:val="left" w:pos="2268"/>
        </w:tabs>
        <w:jc w:val="center"/>
      </w:pPr>
    </w:p>
    <w:p w14:paraId="1A9312BD" w14:textId="77777777" w:rsidR="00A86E16" w:rsidRDefault="00A86E16" w:rsidP="00A86E16">
      <w:pPr>
        <w:tabs>
          <w:tab w:val="left" w:pos="2268"/>
        </w:tabs>
        <w:jc w:val="center"/>
      </w:pPr>
    </w:p>
    <w:p w14:paraId="450E3D8F" w14:textId="77777777" w:rsidR="00A86E16" w:rsidRDefault="00A86E16" w:rsidP="00753BE7">
      <w:pPr>
        <w:tabs>
          <w:tab w:val="left" w:pos="2268"/>
        </w:tabs>
      </w:pPr>
    </w:p>
    <w:p w14:paraId="4D8A8E18" w14:textId="77777777" w:rsidR="00A86E16" w:rsidRDefault="00A86E16" w:rsidP="00753BE7">
      <w:pPr>
        <w:tabs>
          <w:tab w:val="left" w:pos="2268"/>
        </w:tabs>
      </w:pPr>
    </w:p>
    <w:p w14:paraId="3AE62E21" w14:textId="77777777" w:rsidR="00753BE7" w:rsidRDefault="00753BE7" w:rsidP="00753BE7">
      <w:pPr>
        <w:tabs>
          <w:tab w:val="left" w:pos="2268"/>
        </w:tabs>
      </w:pPr>
    </w:p>
    <w:p w14:paraId="5ECD6240" w14:textId="77777777" w:rsidR="00BA0C77" w:rsidRDefault="00BA0C77" w:rsidP="00BA0C77">
      <w:pPr>
        <w:tabs>
          <w:tab w:val="left" w:pos="2268"/>
        </w:tabs>
      </w:pPr>
    </w:p>
    <w:p w14:paraId="033EDDA6" w14:textId="01F1CECA" w:rsidR="00BA0C77" w:rsidRPr="00A47242" w:rsidRDefault="00BA0C77" w:rsidP="00BA0C77">
      <w:pPr>
        <w:tabs>
          <w:tab w:val="left" w:pos="1452"/>
        </w:tabs>
        <w:ind w:firstLine="720"/>
      </w:pPr>
      <w:r>
        <w:t xml:space="preserve"> </w:t>
      </w:r>
    </w:p>
    <w:p w14:paraId="126F7175" w14:textId="77777777" w:rsidR="00A47242" w:rsidRDefault="00A47242" w:rsidP="00724A30">
      <w:pPr>
        <w:tabs>
          <w:tab w:val="left" w:pos="1452"/>
        </w:tabs>
      </w:pPr>
    </w:p>
    <w:p w14:paraId="3323D272" w14:textId="77777777" w:rsidR="00A47242" w:rsidRDefault="00A47242" w:rsidP="00724A30">
      <w:pPr>
        <w:tabs>
          <w:tab w:val="left" w:pos="1452"/>
        </w:tabs>
      </w:pPr>
    </w:p>
    <w:p w14:paraId="2AE86353" w14:textId="77777777" w:rsidR="00A47242" w:rsidRPr="00724A30" w:rsidRDefault="00A47242" w:rsidP="00724A30">
      <w:pPr>
        <w:tabs>
          <w:tab w:val="left" w:pos="1452"/>
        </w:tabs>
      </w:pPr>
    </w:p>
    <w:p w14:paraId="5011D253" w14:textId="246081C0" w:rsidR="00100068" w:rsidRDefault="00A47242" w:rsidP="00B7506B">
      <w:pPr>
        <w:tabs>
          <w:tab w:val="left" w:pos="1452"/>
        </w:tabs>
      </w:pPr>
      <w:r>
        <w:t xml:space="preserve"> </w:t>
      </w:r>
    </w:p>
    <w:p w14:paraId="0A3344B1" w14:textId="7692E9E4" w:rsidR="00B7506B" w:rsidRDefault="005A3CD6" w:rsidP="005A3CD6">
      <w:pPr>
        <w:tabs>
          <w:tab w:val="left" w:pos="2508"/>
        </w:tabs>
      </w:pPr>
      <w:r>
        <w:tab/>
      </w:r>
    </w:p>
    <w:p w14:paraId="640109B2" w14:textId="77777777" w:rsidR="00B7506B" w:rsidRPr="00B7506B" w:rsidRDefault="00B7506B" w:rsidP="00B7506B">
      <w:pPr>
        <w:tabs>
          <w:tab w:val="left" w:pos="1452"/>
        </w:tabs>
      </w:pPr>
    </w:p>
    <w:p w14:paraId="38C17ABB" w14:textId="77777777" w:rsidR="00D4211B" w:rsidRDefault="00D4211B" w:rsidP="00D26E90">
      <w:pPr>
        <w:tabs>
          <w:tab w:val="left" w:pos="1452"/>
        </w:tabs>
      </w:pPr>
    </w:p>
    <w:p w14:paraId="78C77733" w14:textId="77777777" w:rsidR="00D4211B" w:rsidRDefault="00D4211B" w:rsidP="00D26E90">
      <w:pPr>
        <w:tabs>
          <w:tab w:val="left" w:pos="1452"/>
        </w:tabs>
      </w:pPr>
    </w:p>
    <w:p w14:paraId="29B1C1B8" w14:textId="77777777" w:rsidR="00D26E90" w:rsidRDefault="00D26E90" w:rsidP="00D26E90">
      <w:pPr>
        <w:tabs>
          <w:tab w:val="left" w:pos="1452"/>
        </w:tabs>
      </w:pPr>
    </w:p>
    <w:p w14:paraId="6B0F283E" w14:textId="77777777" w:rsidR="00D26E90" w:rsidRPr="00171A09" w:rsidRDefault="00D26E90" w:rsidP="00D26E90">
      <w:pPr>
        <w:tabs>
          <w:tab w:val="left" w:pos="1452"/>
        </w:tabs>
      </w:pPr>
    </w:p>
    <w:sectPr w:rsidR="00D26E90" w:rsidRPr="00171A0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51E71" w14:textId="77777777" w:rsidR="0095333A" w:rsidRDefault="0095333A" w:rsidP="00E453BE">
      <w:pPr>
        <w:spacing w:after="0" w:line="240" w:lineRule="auto"/>
      </w:pPr>
      <w:r>
        <w:separator/>
      </w:r>
    </w:p>
  </w:endnote>
  <w:endnote w:type="continuationSeparator" w:id="0">
    <w:p w14:paraId="2F5325F9" w14:textId="77777777" w:rsidR="0095333A" w:rsidRDefault="0095333A" w:rsidP="00E45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68D7F" w14:textId="77777777" w:rsidR="0095333A" w:rsidRDefault="0095333A" w:rsidP="00E453BE">
      <w:pPr>
        <w:spacing w:after="0" w:line="240" w:lineRule="auto"/>
      </w:pPr>
      <w:r>
        <w:separator/>
      </w:r>
    </w:p>
  </w:footnote>
  <w:footnote w:type="continuationSeparator" w:id="0">
    <w:p w14:paraId="2AEDA4D8" w14:textId="77777777" w:rsidR="0095333A" w:rsidRDefault="0095333A" w:rsidP="00E45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819796"/>
      <w:docPartObj>
        <w:docPartGallery w:val="Page Numbers (Top of Page)"/>
        <w:docPartUnique/>
      </w:docPartObj>
    </w:sdtPr>
    <w:sdtEndPr>
      <w:rPr>
        <w:noProof/>
      </w:rPr>
    </w:sdtEndPr>
    <w:sdtContent>
      <w:p w14:paraId="765298C5" w14:textId="51A333DF" w:rsidR="00A86E16" w:rsidRDefault="00A86E1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F98802" w14:textId="77777777" w:rsidR="00A86E16" w:rsidRDefault="00A86E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D6CD7"/>
    <w:multiLevelType w:val="hybridMultilevel"/>
    <w:tmpl w:val="A9906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D14C5"/>
    <w:multiLevelType w:val="hybridMultilevel"/>
    <w:tmpl w:val="DD06E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5A72F9"/>
    <w:multiLevelType w:val="hybridMultilevel"/>
    <w:tmpl w:val="F5DEDC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18740B5"/>
    <w:multiLevelType w:val="multilevel"/>
    <w:tmpl w:val="3B6E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889777">
    <w:abstractNumId w:val="3"/>
  </w:num>
  <w:num w:numId="2" w16cid:durableId="664473247">
    <w:abstractNumId w:val="0"/>
  </w:num>
  <w:num w:numId="3" w16cid:durableId="1577976758">
    <w:abstractNumId w:val="1"/>
  </w:num>
  <w:num w:numId="4" w16cid:durableId="441269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BE"/>
    <w:rsid w:val="000742E9"/>
    <w:rsid w:val="000D6D96"/>
    <w:rsid w:val="00100068"/>
    <w:rsid w:val="001325FD"/>
    <w:rsid w:val="0016744F"/>
    <w:rsid w:val="00171A09"/>
    <w:rsid w:val="00176186"/>
    <w:rsid w:val="001F3237"/>
    <w:rsid w:val="00214B54"/>
    <w:rsid w:val="00290E22"/>
    <w:rsid w:val="0029480D"/>
    <w:rsid w:val="002A1826"/>
    <w:rsid w:val="002B12BB"/>
    <w:rsid w:val="002C6485"/>
    <w:rsid w:val="00315707"/>
    <w:rsid w:val="00360688"/>
    <w:rsid w:val="003712CD"/>
    <w:rsid w:val="003C078E"/>
    <w:rsid w:val="003D0346"/>
    <w:rsid w:val="003E1563"/>
    <w:rsid w:val="003E3098"/>
    <w:rsid w:val="00426AC4"/>
    <w:rsid w:val="00466462"/>
    <w:rsid w:val="004825E8"/>
    <w:rsid w:val="004B71A2"/>
    <w:rsid w:val="004E76B1"/>
    <w:rsid w:val="00560992"/>
    <w:rsid w:val="005A3CD6"/>
    <w:rsid w:val="0063185F"/>
    <w:rsid w:val="00640657"/>
    <w:rsid w:val="006868DC"/>
    <w:rsid w:val="007243F6"/>
    <w:rsid w:val="00724A30"/>
    <w:rsid w:val="00753BE7"/>
    <w:rsid w:val="00851FFF"/>
    <w:rsid w:val="008C786D"/>
    <w:rsid w:val="008F62FB"/>
    <w:rsid w:val="009132F8"/>
    <w:rsid w:val="0095333A"/>
    <w:rsid w:val="00985995"/>
    <w:rsid w:val="00991ECD"/>
    <w:rsid w:val="00A47242"/>
    <w:rsid w:val="00A56861"/>
    <w:rsid w:val="00A86E16"/>
    <w:rsid w:val="00AA1B14"/>
    <w:rsid w:val="00AE76A6"/>
    <w:rsid w:val="00B1595A"/>
    <w:rsid w:val="00B53F47"/>
    <w:rsid w:val="00B7506B"/>
    <w:rsid w:val="00BA0C77"/>
    <w:rsid w:val="00BE446F"/>
    <w:rsid w:val="00BE5145"/>
    <w:rsid w:val="00C84769"/>
    <w:rsid w:val="00CE0E30"/>
    <w:rsid w:val="00CE46DF"/>
    <w:rsid w:val="00CE6854"/>
    <w:rsid w:val="00D00AA6"/>
    <w:rsid w:val="00D17D32"/>
    <w:rsid w:val="00D26E90"/>
    <w:rsid w:val="00D4211B"/>
    <w:rsid w:val="00D72A31"/>
    <w:rsid w:val="00E173DC"/>
    <w:rsid w:val="00E20D2E"/>
    <w:rsid w:val="00E453BE"/>
    <w:rsid w:val="00E75574"/>
    <w:rsid w:val="00E911B8"/>
    <w:rsid w:val="00F81541"/>
    <w:rsid w:val="00FC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5A91"/>
  <w15:docId w15:val="{BCA5AF01-4384-4F8D-A103-1D1D353A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3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3BE"/>
  </w:style>
  <w:style w:type="paragraph" w:styleId="Footer">
    <w:name w:val="footer"/>
    <w:basedOn w:val="Normal"/>
    <w:link w:val="FooterChar"/>
    <w:uiPriority w:val="99"/>
    <w:unhideWhenUsed/>
    <w:rsid w:val="00E453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3BE"/>
  </w:style>
  <w:style w:type="paragraph" w:styleId="NormalWeb">
    <w:name w:val="Normal (Web)"/>
    <w:basedOn w:val="Normal"/>
    <w:uiPriority w:val="99"/>
    <w:semiHidden/>
    <w:unhideWhenUsed/>
    <w:rsid w:val="008C786D"/>
    <w:rPr>
      <w:rFonts w:ascii="Times New Roman" w:hAnsi="Times New Roman" w:cs="Times New Roman"/>
      <w:sz w:val="24"/>
      <w:szCs w:val="24"/>
    </w:rPr>
  </w:style>
  <w:style w:type="paragraph" w:styleId="ListParagraph">
    <w:name w:val="List Paragraph"/>
    <w:basedOn w:val="Normal"/>
    <w:uiPriority w:val="34"/>
    <w:qFormat/>
    <w:rsid w:val="00BA0C77"/>
    <w:pPr>
      <w:ind w:left="720"/>
      <w:contextualSpacing/>
    </w:pPr>
  </w:style>
  <w:style w:type="paragraph" w:styleId="Title">
    <w:name w:val="Title"/>
    <w:basedOn w:val="Normal"/>
    <w:next w:val="Normal"/>
    <w:link w:val="TitleChar"/>
    <w:uiPriority w:val="10"/>
    <w:qFormat/>
    <w:rsid w:val="006318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8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16734">
      <w:bodyDiv w:val="1"/>
      <w:marLeft w:val="0"/>
      <w:marRight w:val="0"/>
      <w:marTop w:val="0"/>
      <w:marBottom w:val="0"/>
      <w:divBdr>
        <w:top w:val="none" w:sz="0" w:space="0" w:color="auto"/>
        <w:left w:val="none" w:sz="0" w:space="0" w:color="auto"/>
        <w:bottom w:val="none" w:sz="0" w:space="0" w:color="auto"/>
        <w:right w:val="none" w:sz="0" w:space="0" w:color="auto"/>
      </w:divBdr>
    </w:div>
    <w:div w:id="217398788">
      <w:bodyDiv w:val="1"/>
      <w:marLeft w:val="0"/>
      <w:marRight w:val="0"/>
      <w:marTop w:val="0"/>
      <w:marBottom w:val="0"/>
      <w:divBdr>
        <w:top w:val="none" w:sz="0" w:space="0" w:color="auto"/>
        <w:left w:val="none" w:sz="0" w:space="0" w:color="auto"/>
        <w:bottom w:val="none" w:sz="0" w:space="0" w:color="auto"/>
        <w:right w:val="none" w:sz="0" w:space="0" w:color="auto"/>
      </w:divBdr>
    </w:div>
    <w:div w:id="548104760">
      <w:bodyDiv w:val="1"/>
      <w:marLeft w:val="0"/>
      <w:marRight w:val="0"/>
      <w:marTop w:val="0"/>
      <w:marBottom w:val="0"/>
      <w:divBdr>
        <w:top w:val="none" w:sz="0" w:space="0" w:color="auto"/>
        <w:left w:val="none" w:sz="0" w:space="0" w:color="auto"/>
        <w:bottom w:val="none" w:sz="0" w:space="0" w:color="auto"/>
        <w:right w:val="none" w:sz="0" w:space="0" w:color="auto"/>
      </w:divBdr>
    </w:div>
    <w:div w:id="680358756">
      <w:bodyDiv w:val="1"/>
      <w:marLeft w:val="0"/>
      <w:marRight w:val="0"/>
      <w:marTop w:val="0"/>
      <w:marBottom w:val="0"/>
      <w:divBdr>
        <w:top w:val="none" w:sz="0" w:space="0" w:color="auto"/>
        <w:left w:val="none" w:sz="0" w:space="0" w:color="auto"/>
        <w:bottom w:val="none" w:sz="0" w:space="0" w:color="auto"/>
        <w:right w:val="none" w:sz="0" w:space="0" w:color="auto"/>
      </w:divBdr>
    </w:div>
    <w:div w:id="903956120">
      <w:bodyDiv w:val="1"/>
      <w:marLeft w:val="0"/>
      <w:marRight w:val="0"/>
      <w:marTop w:val="0"/>
      <w:marBottom w:val="0"/>
      <w:divBdr>
        <w:top w:val="none" w:sz="0" w:space="0" w:color="auto"/>
        <w:left w:val="none" w:sz="0" w:space="0" w:color="auto"/>
        <w:bottom w:val="none" w:sz="0" w:space="0" w:color="auto"/>
        <w:right w:val="none" w:sz="0" w:space="0" w:color="auto"/>
      </w:divBdr>
    </w:div>
    <w:div w:id="1355688646">
      <w:bodyDiv w:val="1"/>
      <w:marLeft w:val="0"/>
      <w:marRight w:val="0"/>
      <w:marTop w:val="0"/>
      <w:marBottom w:val="0"/>
      <w:divBdr>
        <w:top w:val="none" w:sz="0" w:space="0" w:color="auto"/>
        <w:left w:val="none" w:sz="0" w:space="0" w:color="auto"/>
        <w:bottom w:val="none" w:sz="0" w:space="0" w:color="auto"/>
        <w:right w:val="none" w:sz="0" w:space="0" w:color="auto"/>
      </w:divBdr>
    </w:div>
    <w:div w:id="1377507103">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785034020">
      <w:bodyDiv w:val="1"/>
      <w:marLeft w:val="0"/>
      <w:marRight w:val="0"/>
      <w:marTop w:val="0"/>
      <w:marBottom w:val="0"/>
      <w:divBdr>
        <w:top w:val="none" w:sz="0" w:space="0" w:color="auto"/>
        <w:left w:val="none" w:sz="0" w:space="0" w:color="auto"/>
        <w:bottom w:val="none" w:sz="0" w:space="0" w:color="auto"/>
        <w:right w:val="none" w:sz="0" w:space="0" w:color="auto"/>
      </w:divBdr>
    </w:div>
    <w:div w:id="1898514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A1FC-DC50-410E-9EA6-F50144A47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2944</Words>
  <Characters>16785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Stevenson</dc:creator>
  <cp:keywords/>
  <dc:description/>
  <cp:lastModifiedBy>Nicolas Stevenson</cp:lastModifiedBy>
  <cp:revision>2</cp:revision>
  <dcterms:created xsi:type="dcterms:W3CDTF">2024-01-22T18:11:00Z</dcterms:created>
  <dcterms:modified xsi:type="dcterms:W3CDTF">2024-01-22T18:11:00Z</dcterms:modified>
</cp:coreProperties>
</file>