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61" w:rsidRPr="00B413D3" w:rsidRDefault="00A76276">
      <w:pPr>
        <w:pStyle w:val="normal0"/>
        <w:rPr>
          <w:b/>
          <w:highlight w:val="yellow"/>
        </w:rPr>
      </w:pPr>
      <w:r>
        <w:rPr>
          <w:highlight w:val="yellow"/>
        </w:rPr>
        <w:br/>
      </w:r>
      <w:r>
        <w:rPr>
          <w:b/>
        </w:rPr>
        <w:t>Project title : Malaysia Dengue Outbreak Ana</w:t>
      </w:r>
      <w:r w:rsidR="00B413D3">
        <w:rPr>
          <w:b/>
        </w:rPr>
        <w:t xml:space="preserve">lyzer and Healthcare  locator </w:t>
      </w:r>
    </w:p>
    <w:p w:rsidR="002F7861" w:rsidRDefault="00A76276">
      <w:pPr>
        <w:pStyle w:val="normal0"/>
      </w:pPr>
      <w:r>
        <w:t xml:space="preserve">Dengue fever is an infectious tropical disease caused by </w:t>
      </w:r>
      <w:r>
        <w:t xml:space="preserve">the dengue virus and transmitted by </w:t>
      </w:r>
      <w:proofErr w:type="spellStart"/>
      <w:r>
        <w:t>Aedes</w:t>
      </w:r>
      <w:proofErr w:type="spellEnd"/>
      <w:r>
        <w:t xml:space="preserve"> mosquitoes. The dengue fever brought by </w:t>
      </w:r>
      <w:proofErr w:type="spellStart"/>
      <w:r>
        <w:t>Aedes</w:t>
      </w:r>
      <w:proofErr w:type="spellEnd"/>
      <w:r>
        <w:t xml:space="preserve"> mosquitoes is listed as the most prevalent disease in the country with a ratio of 328.3 cases per 100,000 population.</w:t>
      </w:r>
      <w:r w:rsidR="00B413D3" w:rsidRPr="00B413D3">
        <w:t xml:space="preserve"> </w:t>
      </w:r>
      <w:r w:rsidR="00B413D3">
        <w:t>A modern &amp; effective strategy to address this pressing issue is crucial.</w:t>
      </w:r>
    </w:p>
    <w:p w:rsidR="002F7861" w:rsidRDefault="00A7627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Data</w:t>
      </w:r>
      <w:r w:rsidR="00B413D3">
        <w:rPr>
          <w:b/>
          <w:color w:val="000000"/>
        </w:rPr>
        <w:t xml:space="preserve">  cleaning and preparation</w:t>
      </w:r>
    </w:p>
    <w:tbl>
      <w:tblPr>
        <w:tblStyle w:val="a"/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080"/>
        <w:gridCol w:w="3080"/>
        <w:gridCol w:w="3080"/>
      </w:tblGrid>
      <w:tr w:rsidR="002F7861">
        <w:tc>
          <w:tcPr>
            <w:tcW w:w="3080" w:type="dxa"/>
            <w:shd w:val="clear" w:color="auto" w:fill="8DB3E2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Raw datasets</w:t>
            </w:r>
          </w:p>
        </w:tc>
        <w:tc>
          <w:tcPr>
            <w:tcW w:w="3080" w:type="dxa"/>
            <w:shd w:val="clear" w:color="auto" w:fill="8DB3E2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Assigned to </w:t>
            </w:r>
          </w:p>
        </w:tc>
        <w:tc>
          <w:tcPr>
            <w:tcW w:w="3080" w:type="dxa"/>
            <w:shd w:val="clear" w:color="auto" w:fill="8DB3E2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Progress / Output</w:t>
            </w:r>
          </w:p>
        </w:tc>
      </w:tr>
      <w:tr w:rsidR="002F7861">
        <w:tc>
          <w:tcPr>
            <w:tcW w:w="3080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These 6 datasets are downloaded from http://www.data.gov.my. These datasets are tabulation of Dengue Outbreak in Malaysia recorded between 2010 to 2015.  The data is provided by the Ministry of Health Malaysia.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br/>
              <w:t>•List of Dengue Epidemic Hotspot in Malaysia</w:t>
            </w:r>
            <w:r>
              <w:rPr>
                <w:color w:val="000000"/>
              </w:rPr>
              <w:t xml:space="preserve"> 2010,2011,2012,2013,2014,2015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lokalitihotspot2010.xlsx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lokalitihotspot2011.xlsx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lokalitihotspot2012.xlsx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lokalitihotspot2013.xlsx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lokalitihotspot2014.xlsx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color w:val="000000"/>
              </w:rPr>
              <w:t>lokalitihotspot2015.xlsx</w:t>
            </w:r>
          </w:p>
        </w:tc>
        <w:tc>
          <w:tcPr>
            <w:tcW w:w="3080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•Data cleaning and integration by Amanda</w:t>
            </w:r>
          </w:p>
          <w:p w:rsidR="002F7861" w:rsidRDefault="00A76276">
            <w:pPr>
              <w:pStyle w:val="normal0"/>
              <w:spacing w:after="200" w:line="276" w:lineRule="auto"/>
            </w:pPr>
            <w:r>
              <w:t>•Select distinct areas from a com</w:t>
            </w:r>
            <w:r>
              <w:t xml:space="preserve">bined dataset (dengue2010_2015) </w:t>
            </w:r>
            <w:r>
              <w:br/>
            </w:r>
          </w:p>
          <w:p w:rsidR="002F7861" w:rsidRDefault="00A76276">
            <w:pPr>
              <w:pStyle w:val="normal0"/>
              <w:spacing w:after="200" w:line="276" w:lineRule="auto"/>
            </w:pPr>
            <w:r>
              <w:t>•Fetching location coordinates from Google API (</w:t>
            </w:r>
            <w:proofErr w:type="spellStart"/>
            <w:r>
              <w:t>Geocoding.R</w:t>
            </w:r>
            <w:proofErr w:type="spellEnd"/>
            <w:r>
              <w:t>),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• Fixed mismatch between states and areas (incorrect data on raw datasets</w:t>
            </w:r>
            <w:r>
              <w:t>)</w:t>
            </w:r>
          </w:p>
          <w:p w:rsidR="002F7861" w:rsidRDefault="002F786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080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dengue2010_2015.csv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location.csv</w:t>
            </w:r>
          </w:p>
          <w:p w:rsidR="002F7861" w:rsidRDefault="002F786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2F7861">
        <w:tc>
          <w:tcPr>
            <w:tcW w:w="3080" w:type="dxa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The 4 healthcare datasets are downloaded from http://www.data.gov.my. </w:t>
            </w:r>
          </w:p>
          <w:p w:rsidR="002F7861" w:rsidRDefault="002F786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hospital.csv</w:t>
            </w:r>
            <w:r>
              <w:rPr>
                <w:color w:val="000000"/>
              </w:rPr>
              <w:br/>
              <w:t>clinicgov.csv</w:t>
            </w:r>
            <w:r>
              <w:rPr>
                <w:color w:val="000000"/>
              </w:rPr>
              <w:br/>
              <w:t>clinicdesa.csv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clinic1m.csv</w:t>
            </w:r>
          </w:p>
        </w:tc>
        <w:tc>
          <w:tcPr>
            <w:tcW w:w="3080" w:type="dxa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•Data cleaning by Amanda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2D69B"/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•clinic1m.csv latitude longitude  coordinates by </w:t>
            </w:r>
            <w:proofErr w:type="spellStart"/>
            <w:r>
              <w:rPr>
                <w:color w:val="000000"/>
              </w:rPr>
              <w:t>Aishah</w:t>
            </w:r>
            <w:proofErr w:type="spellEnd"/>
          </w:p>
          <w:p w:rsidR="002F7861" w:rsidRDefault="002F786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  <w:p w:rsidR="002F7861" w:rsidRDefault="002F786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3080" w:type="dxa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hospital.csv</w:t>
            </w:r>
            <w:r>
              <w:rPr>
                <w:color w:val="000000"/>
              </w:rPr>
              <w:br/>
              <w:t>clinicgov.csv</w:t>
            </w:r>
            <w:r>
              <w:rPr>
                <w:color w:val="000000"/>
              </w:rPr>
              <w:br/>
              <w:t>clinicdesa.csv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clinic1m.csv</w:t>
            </w:r>
          </w:p>
        </w:tc>
      </w:tr>
      <w:tr w:rsidR="002F7861">
        <w:tc>
          <w:tcPr>
            <w:tcW w:w="3080" w:type="dxa"/>
            <w:shd w:val="clear" w:color="auto" w:fill="B6D7A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lastRenderedPageBreak/>
              <w:t xml:space="preserve">Uploaded Malaysia </w:t>
            </w:r>
            <w:proofErr w:type="spellStart"/>
            <w:r>
              <w:t>GeoSpatial</w:t>
            </w:r>
            <w:proofErr w:type="spellEnd"/>
            <w:r>
              <w:t xml:space="preserve"> Data Frame at district, state, and country level respectively:</w:t>
            </w:r>
          </w:p>
          <w:p w:rsidR="002F7861" w:rsidRDefault="00A76276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  <w:r>
              <w:t>MYS_adm2.rds</w:t>
            </w:r>
          </w:p>
          <w:p w:rsidR="002F7861" w:rsidRDefault="00A76276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  <w:r>
              <w:t>MYS_adm1.rds</w:t>
            </w:r>
          </w:p>
          <w:p w:rsidR="002F7861" w:rsidRDefault="00A76276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  <w:r>
              <w:t>MYS_adm0.rds</w:t>
            </w:r>
          </w:p>
        </w:tc>
        <w:tc>
          <w:tcPr>
            <w:tcW w:w="3080" w:type="dxa"/>
            <w:shd w:val="clear" w:color="auto" w:fill="B6D7A8"/>
          </w:tcPr>
          <w:p w:rsidR="002F7861" w:rsidRDefault="00A76276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color w:val="000000"/>
              </w:rPr>
            </w:pPr>
            <w:r>
              <w:t xml:space="preserve">MYS_adm3.rds is used to build polygon in leaflet by </w:t>
            </w:r>
            <w:proofErr w:type="spellStart"/>
            <w:r>
              <w:t>Aishah</w:t>
            </w:r>
            <w:proofErr w:type="spellEnd"/>
          </w:p>
        </w:tc>
        <w:tc>
          <w:tcPr>
            <w:tcW w:w="3080" w:type="dxa"/>
            <w:shd w:val="clear" w:color="auto" w:fill="B6D7A8"/>
          </w:tcPr>
          <w:p w:rsidR="002F7861" w:rsidRDefault="00A76276">
            <w:pPr>
              <w:pStyle w:val="normal0"/>
              <w:numPr>
                <w:ilvl w:val="0"/>
                <w:numId w:val="1"/>
              </w:numPr>
              <w:spacing w:after="200" w:line="276" w:lineRule="auto"/>
              <w:contextualSpacing/>
            </w:pPr>
            <w:r>
              <w:t>MYS_adm2.rds</w:t>
            </w:r>
          </w:p>
          <w:p w:rsidR="002F7861" w:rsidRDefault="00A76276">
            <w:pPr>
              <w:pStyle w:val="normal0"/>
              <w:numPr>
                <w:ilvl w:val="0"/>
                <w:numId w:val="1"/>
              </w:numPr>
              <w:spacing w:after="200" w:line="276" w:lineRule="auto"/>
              <w:contextualSpacing/>
            </w:pPr>
            <w:r>
              <w:t>MYS_adm1.rds</w:t>
            </w:r>
          </w:p>
          <w:p w:rsidR="002F7861" w:rsidRDefault="00A76276">
            <w:pPr>
              <w:pStyle w:val="normal0"/>
              <w:numPr>
                <w:ilvl w:val="0"/>
                <w:numId w:val="1"/>
              </w:numPr>
              <w:spacing w:after="200" w:line="276" w:lineRule="auto"/>
              <w:contextualSpacing/>
            </w:pPr>
            <w:r>
              <w:t>MYS_adm0.rds</w:t>
            </w:r>
          </w:p>
        </w:tc>
      </w:tr>
    </w:tbl>
    <w:p w:rsidR="002F7861" w:rsidRDefault="002F78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F7861" w:rsidRDefault="00A7627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Dengue Shiny App</w:t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76"/>
        <w:gridCol w:w="2906"/>
        <w:gridCol w:w="2560"/>
      </w:tblGrid>
      <w:tr w:rsidR="002F7861">
        <w:tc>
          <w:tcPr>
            <w:tcW w:w="3776" w:type="dxa"/>
            <w:shd w:val="clear" w:color="auto" w:fill="31849B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2906" w:type="dxa"/>
            <w:shd w:val="clear" w:color="auto" w:fill="31849B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Assigned to </w:t>
            </w:r>
          </w:p>
        </w:tc>
        <w:tc>
          <w:tcPr>
            <w:tcW w:w="2560" w:type="dxa"/>
            <w:shd w:val="clear" w:color="auto" w:fill="31849B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Progress</w:t>
            </w:r>
          </w:p>
        </w:tc>
      </w:tr>
      <w:tr w:rsidR="002F7861">
        <w:tc>
          <w:tcPr>
            <w:tcW w:w="3776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User Interface</w:t>
            </w:r>
            <w:r>
              <w:rPr>
                <w:color w:val="000000"/>
              </w:rPr>
              <w:br/>
              <w:t>The layout &amp; appearance of app</w:t>
            </w:r>
          </w:p>
        </w:tc>
        <w:tc>
          <w:tcPr>
            <w:tcW w:w="2906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Amanda</w:t>
            </w:r>
          </w:p>
        </w:tc>
        <w:tc>
          <w:tcPr>
            <w:tcW w:w="2560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2F7861">
        <w:tc>
          <w:tcPr>
            <w:tcW w:w="3776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Interactive map 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It shows the total dengue cases in each area/zone  and the locations of clinics and hospitals based on the chosen states, from year, from week, to year, to week</w:t>
            </w:r>
          </w:p>
        </w:tc>
        <w:tc>
          <w:tcPr>
            <w:tcW w:w="2906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Amanda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hd w:val="clear" w:color="auto" w:fill="B6D7A8"/>
              </w:rPr>
            </w:pPr>
            <w:proofErr w:type="spellStart"/>
            <w:r>
              <w:rPr>
                <w:shd w:val="clear" w:color="auto" w:fill="B6D7A8"/>
              </w:rPr>
              <w:t>Aishah</w:t>
            </w:r>
            <w:proofErr w:type="spellEnd"/>
            <w:r>
              <w:rPr>
                <w:shd w:val="clear" w:color="auto" w:fill="B6D7A8"/>
              </w:rPr>
              <w:t xml:space="preserve"> (enhanced map results by adding district level polygon to enhance Malaysia)</w:t>
            </w:r>
          </w:p>
        </w:tc>
        <w:tc>
          <w:tcPr>
            <w:tcW w:w="2560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2F7861">
        <w:tc>
          <w:tcPr>
            <w:tcW w:w="3776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</w:rPr>
              <w:t>Data Explorer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It shows the data in table form based on the chosen year</w:t>
            </w:r>
          </w:p>
        </w:tc>
        <w:tc>
          <w:tcPr>
            <w:tcW w:w="2906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Amanda</w:t>
            </w:r>
          </w:p>
        </w:tc>
        <w:tc>
          <w:tcPr>
            <w:tcW w:w="2560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2F7861">
        <w:tc>
          <w:tcPr>
            <w:tcW w:w="3776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Outbreak Analysis</w:t>
            </w:r>
            <w:r>
              <w:rPr>
                <w:b/>
                <w:color w:val="000000"/>
              </w:rPr>
              <w:br/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It shows</w:t>
            </w:r>
          </w:p>
          <w:p w:rsidR="002F7861" w:rsidRDefault="00A76276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color w:val="000000"/>
              </w:rPr>
              <w:t>Total dengue cases by year</w:t>
            </w:r>
          </w:p>
          <w:p w:rsidR="002F7861" w:rsidRDefault="00A76276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color w:val="000000"/>
              </w:rPr>
              <w:t>Total dengue cases by state</w:t>
            </w:r>
          </w:p>
          <w:p w:rsidR="002F7861" w:rsidRDefault="00A76276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  <w:r>
              <w:rPr>
                <w:color w:val="000000"/>
              </w:rPr>
              <w:t>Comparisons of total dengue cases for all chosen states from year 2010 to 2015</w:t>
            </w:r>
          </w:p>
        </w:tc>
        <w:tc>
          <w:tcPr>
            <w:tcW w:w="2906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Amanda</w:t>
            </w:r>
          </w:p>
        </w:tc>
        <w:tc>
          <w:tcPr>
            <w:tcW w:w="2560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2F7861">
        <w:tc>
          <w:tcPr>
            <w:tcW w:w="3776" w:type="dxa"/>
            <w:shd w:val="clear" w:color="auto" w:fill="C2D69B"/>
          </w:tcPr>
          <w:p w:rsidR="002F7861" w:rsidRDefault="00A76276" w:rsidP="003850C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Other feature/analysis/ predictive model . </w:t>
            </w:r>
          </w:p>
        </w:tc>
        <w:tc>
          <w:tcPr>
            <w:tcW w:w="2906" w:type="dxa"/>
            <w:shd w:val="clear" w:color="auto" w:fill="C2D69B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Aishah</w:t>
            </w:r>
            <w:proofErr w:type="spellEnd"/>
          </w:p>
        </w:tc>
        <w:tc>
          <w:tcPr>
            <w:tcW w:w="2560" w:type="dxa"/>
            <w:shd w:val="clear" w:color="auto" w:fill="C2D69B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Code for </w:t>
            </w:r>
            <w:proofErr w:type="spellStart"/>
            <w:r>
              <w:t>rpivotTable</w:t>
            </w:r>
            <w:proofErr w:type="spellEnd"/>
            <w:r>
              <w:t xml:space="preserve"> uploaded to Google Drive on 29 April 2018 </w:t>
            </w:r>
          </w:p>
        </w:tc>
      </w:tr>
      <w:tr w:rsidR="002F7861">
        <w:tc>
          <w:tcPr>
            <w:tcW w:w="3776" w:type="dxa"/>
            <w:shd w:val="clear" w:color="auto" w:fill="FBD5B5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Other feature or analysis or predictive model </w:t>
            </w:r>
          </w:p>
        </w:tc>
        <w:tc>
          <w:tcPr>
            <w:tcW w:w="2906" w:type="dxa"/>
            <w:shd w:val="clear" w:color="auto" w:fill="FBD5B5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Vivian</w:t>
            </w:r>
          </w:p>
        </w:tc>
        <w:tc>
          <w:tcPr>
            <w:tcW w:w="2560" w:type="dxa"/>
            <w:shd w:val="clear" w:color="auto" w:fill="FBD5B5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Done (Descriptive)</w:t>
            </w:r>
          </w:p>
        </w:tc>
      </w:tr>
      <w:tr w:rsidR="002F7861">
        <w:tc>
          <w:tcPr>
            <w:tcW w:w="3776" w:type="dxa"/>
            <w:shd w:val="clear" w:color="auto" w:fill="FBD5B5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About</w:t>
            </w:r>
          </w:p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Documentation about this Shiny App</w:t>
            </w:r>
          </w:p>
        </w:tc>
        <w:tc>
          <w:tcPr>
            <w:tcW w:w="2906" w:type="dxa"/>
            <w:shd w:val="clear" w:color="auto" w:fill="FBD5B5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Vivian</w:t>
            </w:r>
          </w:p>
        </w:tc>
        <w:tc>
          <w:tcPr>
            <w:tcW w:w="2560" w:type="dxa"/>
            <w:shd w:val="clear" w:color="auto" w:fill="FBD5B5"/>
          </w:tcPr>
          <w:p w:rsidR="002F7861" w:rsidRDefault="002F786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</w:tbl>
    <w:p w:rsidR="002F7861" w:rsidRDefault="002F78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7861" w:rsidRDefault="00A7627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Pitchbook</w:t>
      </w:r>
      <w:proofErr w:type="spellEnd"/>
    </w:p>
    <w:tbl>
      <w:tblPr>
        <w:tblStyle w:val="a1"/>
        <w:tblW w:w="9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70"/>
        <w:gridCol w:w="2895"/>
        <w:gridCol w:w="2460"/>
      </w:tblGrid>
      <w:tr w:rsidR="002F7861">
        <w:tc>
          <w:tcPr>
            <w:tcW w:w="3870" w:type="dxa"/>
            <w:shd w:val="clear" w:color="auto" w:fill="FBD5B5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proofErr w:type="spellStart"/>
            <w:r>
              <w:rPr>
                <w:color w:val="000000"/>
              </w:rPr>
              <w:t>Pitchbook</w:t>
            </w:r>
            <w:proofErr w:type="spellEnd"/>
            <w:r>
              <w:rPr>
                <w:color w:val="000000"/>
              </w:rPr>
              <w:t xml:space="preserve"> - 5 slides</w:t>
            </w:r>
            <w:r>
              <w:rPr>
                <w:color w:val="000000"/>
              </w:rPr>
              <w:br/>
              <w:t xml:space="preserve">The </w:t>
            </w:r>
            <w:proofErr w:type="spellStart"/>
            <w:r>
              <w:rPr>
                <w:color w:val="000000"/>
              </w:rPr>
              <w:t>pitchbook</w:t>
            </w:r>
            <w:proofErr w:type="spellEnd"/>
            <w:r>
              <w:rPr>
                <w:color w:val="000000"/>
              </w:rPr>
              <w:t xml:space="preserve"> is to be created using </w:t>
            </w:r>
            <w:proofErr w:type="spellStart"/>
            <w:r>
              <w:rPr>
                <w:color w:val="000000"/>
              </w:rPr>
              <w:t>Slidify</w:t>
            </w:r>
            <w:proofErr w:type="spellEnd"/>
            <w:r>
              <w:rPr>
                <w:color w:val="000000"/>
              </w:rPr>
              <w:t xml:space="preserve"> or </w:t>
            </w:r>
            <w:proofErr w:type="spellStart"/>
            <w:r>
              <w:rPr>
                <w:color w:val="000000"/>
              </w:rPr>
              <w:t>Rstudio</w:t>
            </w:r>
            <w:proofErr w:type="spellEnd"/>
            <w:r>
              <w:rPr>
                <w:color w:val="000000"/>
              </w:rPr>
              <w:t xml:space="preserve"> with a html5  slide deck.</w:t>
            </w:r>
            <w:r>
              <w:rPr>
                <w:color w:val="000000"/>
              </w:rPr>
              <w:br/>
              <w:t xml:space="preserve">Then it has to be published on </w:t>
            </w:r>
            <w:proofErr w:type="spellStart"/>
            <w:r>
              <w:rPr>
                <w:color w:val="000000"/>
              </w:rPr>
              <w:t>Rpubs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895" w:type="dxa"/>
            <w:shd w:val="clear" w:color="auto" w:fill="FBD5B5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Vivian </w:t>
            </w:r>
          </w:p>
        </w:tc>
        <w:tc>
          <w:tcPr>
            <w:tcW w:w="2460" w:type="dxa"/>
            <w:shd w:val="clear" w:color="auto" w:fill="FBD5B5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:rsidR="002F7861" w:rsidRDefault="00A7627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  <w:t>Presentation on Week14 - 15 May</w:t>
      </w:r>
    </w:p>
    <w:tbl>
      <w:tblPr>
        <w:tblStyle w:val="a2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1"/>
        <w:gridCol w:w="4621"/>
      </w:tblGrid>
      <w:tr w:rsidR="002F7861">
        <w:tc>
          <w:tcPr>
            <w:tcW w:w="4621" w:type="dxa"/>
            <w:shd w:val="clear" w:color="auto" w:fill="FBD5B5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Introduction and </w:t>
            </w:r>
            <w:proofErr w:type="spellStart"/>
            <w:r>
              <w:rPr>
                <w:color w:val="000000"/>
              </w:rPr>
              <w:t>Pitchbook</w:t>
            </w:r>
            <w:proofErr w:type="spellEnd"/>
          </w:p>
        </w:tc>
        <w:tc>
          <w:tcPr>
            <w:tcW w:w="4621" w:type="dxa"/>
            <w:shd w:val="clear" w:color="auto" w:fill="FBD5B5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Vivian</w:t>
            </w:r>
          </w:p>
        </w:tc>
      </w:tr>
    </w:tbl>
    <w:p w:rsidR="002F7861" w:rsidRDefault="00A7627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br/>
        <w:t>Shiny App Demo</w:t>
      </w:r>
    </w:p>
    <w:tbl>
      <w:tblPr>
        <w:tblStyle w:val="a3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1"/>
        <w:gridCol w:w="4621"/>
      </w:tblGrid>
      <w:tr w:rsidR="002F7861">
        <w:tc>
          <w:tcPr>
            <w:tcW w:w="4621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Interactive map </w:t>
            </w:r>
          </w:p>
        </w:tc>
        <w:tc>
          <w:tcPr>
            <w:tcW w:w="4621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Amanda</w:t>
            </w:r>
          </w:p>
        </w:tc>
      </w:tr>
      <w:tr w:rsidR="002F7861">
        <w:tc>
          <w:tcPr>
            <w:tcW w:w="4621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Data Explorer</w:t>
            </w:r>
          </w:p>
        </w:tc>
        <w:tc>
          <w:tcPr>
            <w:tcW w:w="4621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Amanda</w:t>
            </w:r>
          </w:p>
        </w:tc>
      </w:tr>
      <w:tr w:rsidR="002F7861">
        <w:tc>
          <w:tcPr>
            <w:tcW w:w="4621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Outbreak analysis by year, state</w:t>
            </w:r>
          </w:p>
        </w:tc>
        <w:tc>
          <w:tcPr>
            <w:tcW w:w="4621" w:type="dxa"/>
            <w:shd w:val="clear" w:color="auto" w:fill="B7DDE8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Amanda</w:t>
            </w:r>
          </w:p>
        </w:tc>
      </w:tr>
      <w:tr w:rsidR="002F7861">
        <w:tc>
          <w:tcPr>
            <w:tcW w:w="4621" w:type="dxa"/>
            <w:shd w:val="clear" w:color="auto" w:fill="C2D69B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other features on shiny app</w:t>
            </w:r>
          </w:p>
        </w:tc>
        <w:tc>
          <w:tcPr>
            <w:tcW w:w="4621" w:type="dxa"/>
            <w:shd w:val="clear" w:color="auto" w:fill="C2D69B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Aishah</w:t>
            </w:r>
            <w:proofErr w:type="spellEnd"/>
          </w:p>
        </w:tc>
      </w:tr>
      <w:tr w:rsidR="002F7861">
        <w:tc>
          <w:tcPr>
            <w:tcW w:w="4621" w:type="dxa"/>
            <w:shd w:val="clear" w:color="auto" w:fill="C2D69B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Conclusion</w:t>
            </w:r>
          </w:p>
        </w:tc>
        <w:tc>
          <w:tcPr>
            <w:tcW w:w="4621" w:type="dxa"/>
            <w:shd w:val="clear" w:color="auto" w:fill="C2D69B"/>
          </w:tcPr>
          <w:p w:rsidR="002F7861" w:rsidRDefault="00A762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Aishah</w:t>
            </w:r>
            <w:proofErr w:type="spellEnd"/>
          </w:p>
        </w:tc>
      </w:tr>
    </w:tbl>
    <w:p w:rsidR="002F7861" w:rsidRDefault="00A7627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/>
      </w:r>
    </w:p>
    <w:p w:rsidR="002F7861" w:rsidRDefault="002F78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F7861" w:rsidRDefault="002F7861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2F7861" w:rsidSect="002F786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B2AFB"/>
    <w:multiLevelType w:val="multilevel"/>
    <w:tmpl w:val="C510A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2F0422"/>
    <w:multiLevelType w:val="multilevel"/>
    <w:tmpl w:val="8598A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477B9F"/>
    <w:multiLevelType w:val="multilevel"/>
    <w:tmpl w:val="C3A2B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7F74AA2"/>
    <w:multiLevelType w:val="multilevel"/>
    <w:tmpl w:val="BD48043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7861"/>
    <w:rsid w:val="002F7861"/>
    <w:rsid w:val="003850C1"/>
    <w:rsid w:val="00A76276"/>
    <w:rsid w:val="00B4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F786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2F786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2F786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2F7861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2F7861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2F7861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7861"/>
  </w:style>
  <w:style w:type="paragraph" w:styleId="Title">
    <w:name w:val="Title"/>
    <w:basedOn w:val="normal0"/>
    <w:next w:val="normal0"/>
    <w:rsid w:val="002F786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2F786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F78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F78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F78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F78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F78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fibonacci1</cp:lastModifiedBy>
  <cp:revision>4</cp:revision>
  <dcterms:created xsi:type="dcterms:W3CDTF">2018-05-15T16:48:00Z</dcterms:created>
  <dcterms:modified xsi:type="dcterms:W3CDTF">2018-05-15T16:52:00Z</dcterms:modified>
</cp:coreProperties>
</file>