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Ariel Gurevich. La vida Digital: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40"/>
          <w:szCs w:val="40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8"/>
            <w:szCs w:val="38"/>
            <w:u w:val="single"/>
            <w:rtl w:val="0"/>
          </w:rPr>
          <w:t xml:space="preserve">https://www.clarin.com/tecnologia/-vida-digital-investigacion-podemos-dejar-online_0_ySTserJzv.html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Leo Solaas. La doble vida del Hipersujeto: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38"/>
          <w:szCs w:val="38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8"/>
            <w:szCs w:val="38"/>
            <w:u w:val="single"/>
            <w:rtl w:val="0"/>
          </w:rPr>
          <w:t xml:space="preserve">https://solaas.medium.com/la-doble-vida-del-hipersujeto-fdaab9d43dd2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larin.com/tecnologia/-vida-digital-investigacion-podemos-dejar-online_0_ySTserJzv.html" TargetMode="External"/><Relationship Id="rId7" Type="http://schemas.openxmlformats.org/officeDocument/2006/relationships/hyperlink" Target="https://solaas.medium.com/la-doble-vida-del-hipersujeto-fdaab9d43dd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