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</w:t>
      </w:r>
    </w:p>
    <w:p>
      <w:pPr>
        <w:pStyle w:val="Heading1"/>
      </w:pPr>
      <w:r>
        <w:t>Revenue</w:t>
      </w:r>
    </w:p>
    <w:p>
      <w:r>
        <w:t>Revenue grew fourteen percent across every region this year.</w:t>
      </w:r>
    </w:p>
    <w:p>
      <w:pPr>
        <w:pStyle w:val="ListBullet"/>
      </w:pPr>
      <w:r>
        <w:t>Northern territory outperformed expectations.</w:t>
      </w:r>
    </w:p>
    <w:p>
      <w:pPr>
        <w:pStyle w:val="ListBullet"/>
      </w:pPr>
      <w:r>
        <w:t>Southern territory met target.</w:t>
      </w:r>
    </w:p>
    <w:p>
      <w:pPr>
        <w:pStyle w:val="Heading1"/>
      </w:pPr>
      <w:r>
        <w:t>Risks</w:t>
      </w:r>
    </w:p>
    <w:p>
      <w:r>
        <w:t>Supply chain delays remain the largest open risk.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Arun</w:t>
            </w:r>
          </w:p>
        </w:tc>
        <w:tc>
          <w:tcPr>
            <w:tcW w:type="dxa" w:w="2880"/>
          </w:tcPr>
          <w:p>
            <w:r>
              <w:t>Amber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