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Mangalore Refinery — Crude &amp; Vacuum Distillation Unit (CDU/VDU)</w:t>
      </w:r>
    </w:p>
    <w:p>
      <w:pPr>
        <w:pStyle w:val="Heading1"/>
      </w:pPr>
      <w:r>
        <w:t>Standard Operating Procedure: Crude Blend Optimization &amp; Tower Operations</w:t>
      </w:r>
    </w:p>
    <w:p>
      <w:pPr>
        <w:pStyle w:val="Heading2"/>
      </w:pPr>
      <w:r>
        <w:t>1. Feed Optimization &amp; Desalting</w:t>
      </w:r>
    </w:p>
    <w:p>
      <w:r>
        <w:t>The Crude Distillation Unit processes crude blends ranging from sweet light crudes (Arab Light, Bonny Light) to heavy sour crudes (Maya, Basrah Heavy). Electrostatic Desalter D-101 maintains salt content below 3.0 PTB and water cut below 0.1% vol to prevent overhead condenser fouling and naphthenic acid corrosion.</w:t>
      </w:r>
    </w:p>
    <w:p>
      <w:pPr>
        <w:pStyle w:val="Heading2"/>
      </w:pPr>
      <w:r>
        <w:t>2. Column Operating Conditions &amp; Draw Temperatures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Distillation Cut</w:t>
            </w:r>
          </w:p>
        </w:tc>
        <w:tc>
          <w:tcPr>
            <w:tcW w:type="dxa" w:w="2160"/>
          </w:tcPr>
          <w:p>
            <w:r>
              <w:t>Column Tray / Section</w:t>
            </w:r>
          </w:p>
        </w:tc>
        <w:tc>
          <w:tcPr>
            <w:tcW w:type="dxa" w:w="2160"/>
          </w:tcPr>
          <w:p>
            <w:r>
              <w:t>Draw Temperature</w:t>
            </w:r>
          </w:p>
        </w:tc>
        <w:tc>
          <w:tcPr>
            <w:tcW w:type="dxa" w:w="2160"/>
          </w:tcPr>
          <w:p>
            <w:r>
              <w:t>Quality Specification</w:t>
            </w:r>
          </w:p>
        </w:tc>
      </w:tr>
      <w:tr>
        <w:tc>
          <w:tcPr>
            <w:tcW w:type="dxa" w:w="2160"/>
          </w:tcPr>
          <w:p>
            <w:r>
              <w:t>Heavy Naphtha</w:t>
            </w:r>
          </w:p>
        </w:tc>
        <w:tc>
          <w:tcPr>
            <w:tcW w:type="dxa" w:w="2160"/>
          </w:tcPr>
          <w:p>
            <w:r>
              <w:t>Tray 38-42</w:t>
            </w:r>
          </w:p>
        </w:tc>
        <w:tc>
          <w:tcPr>
            <w:tcW w:type="dxa" w:w="2160"/>
          </w:tcPr>
          <w:p>
            <w:r>
              <w:t>140°C – 165°C</w:t>
            </w:r>
          </w:p>
        </w:tc>
        <w:tc>
          <w:tcPr>
            <w:tcW w:type="dxa" w:w="2160"/>
          </w:tcPr>
          <w:p>
            <w:r>
              <w:t>RVP &lt; 0.85 bar, N+2A &gt; 55%</w:t>
            </w:r>
          </w:p>
        </w:tc>
      </w:tr>
      <w:tr>
        <w:tc>
          <w:tcPr>
            <w:tcW w:type="dxa" w:w="2160"/>
          </w:tcPr>
          <w:p>
            <w:r>
              <w:t>Aviation Turbine Fuel (ATF / Kerosene)</w:t>
            </w:r>
          </w:p>
        </w:tc>
        <w:tc>
          <w:tcPr>
            <w:tcW w:type="dxa" w:w="2160"/>
          </w:tcPr>
          <w:p>
            <w:r>
              <w:t>Tray 28-32</w:t>
            </w:r>
          </w:p>
        </w:tc>
        <w:tc>
          <w:tcPr>
            <w:tcW w:type="dxa" w:w="2160"/>
          </w:tcPr>
          <w:p>
            <w:r>
              <w:t>195°C – 230°C</w:t>
            </w:r>
          </w:p>
        </w:tc>
        <w:tc>
          <w:tcPr>
            <w:tcW w:type="dxa" w:w="2160"/>
          </w:tcPr>
          <w:p>
            <w:r>
              <w:t>Smoke Point &gt; 21 mm, Flash &gt; 38°C</w:t>
            </w:r>
          </w:p>
        </w:tc>
      </w:tr>
      <w:tr>
        <w:tc>
          <w:tcPr>
            <w:tcW w:type="dxa" w:w="2160"/>
          </w:tcPr>
          <w:p>
            <w:r>
              <w:t>High Speed Diesel (HSD / Gas Oil)</w:t>
            </w:r>
          </w:p>
        </w:tc>
        <w:tc>
          <w:tcPr>
            <w:tcW w:type="dxa" w:w="2160"/>
          </w:tcPr>
          <w:p>
            <w:r>
              <w:t>Tray 14-18</w:t>
            </w:r>
          </w:p>
        </w:tc>
        <w:tc>
          <w:tcPr>
            <w:tcW w:type="dxa" w:w="2160"/>
          </w:tcPr>
          <w:p>
            <w:r>
              <w:t>290°C – 345°C</w:t>
            </w:r>
          </w:p>
        </w:tc>
        <w:tc>
          <w:tcPr>
            <w:tcW w:type="dxa" w:w="2160"/>
          </w:tcPr>
          <w:p>
            <w:r>
              <w:t>Cetane Index &gt; 48, Sulfur &lt; 10 ppm (BS-VI)</w:t>
            </w:r>
          </w:p>
        </w:tc>
      </w:tr>
      <w:tr>
        <w:tc>
          <w:tcPr>
            <w:tcW w:type="dxa" w:w="2160"/>
          </w:tcPr>
          <w:p>
            <w:r>
              <w:t>Atmospheric Residue (AR)</w:t>
            </w:r>
          </w:p>
        </w:tc>
        <w:tc>
          <w:tcPr>
            <w:tcW w:type="dxa" w:w="2160"/>
          </w:tcPr>
          <w:p>
            <w:r>
              <w:t>Column Sump</w:t>
            </w:r>
          </w:p>
        </w:tc>
        <w:tc>
          <w:tcPr>
            <w:tcW w:type="dxa" w:w="2160"/>
          </w:tcPr>
          <w:p>
            <w:r>
              <w:t>345°C – 360°C</w:t>
            </w:r>
          </w:p>
        </w:tc>
        <w:tc>
          <w:tcPr>
            <w:tcW w:type="dxa" w:w="2160"/>
          </w:tcPr>
          <w:p>
            <w:r>
              <w:t>Feed to Vacuum Distillation Unit (VDU)</w:t>
            </w:r>
          </w:p>
        </w:tc>
      </w:tr>
    </w:tbl>
    <w:p>
      <w:pPr>
        <w:pStyle w:val="Heading2"/>
      </w:pPr>
      <w:r>
        <w:t>3. Furnace F-101 Coil Protection</w:t>
      </w:r>
    </w:p>
    <w:p>
      <w:r>
        <w:t>Crude charge furnace F-101 skin temperatures must not exceed 480°C. Flow meters FT-201 through FT-204 monitor pass balance across the four radiant coils to prevent localized coke deposition.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